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upb-20260630.htm"/>
      <w:bookmarkStart w:id="1" w:name="ksupb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001-42366</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737" w:type="dxa"/>
        <w:jc w:val="left"/>
        <w:tblInd w:w="0" w:type="dxa"/>
        <w:tblLayout w:type="fixed"/>
        <w:tblCellMar>
          <w:top w:w="28" w:type="dxa"/>
          <w:left w:w="28" w:type="dxa"/>
          <w:bottom w:w="28" w:type="dxa"/>
          <w:right w:w="28" w:type="dxa"/>
        </w:tblCellMar>
      </w:tblPr>
      <w:tblGrid>
        <w:gridCol w:w="2491"/>
        <w:gridCol w:w="1246"/>
      </w:tblGrid>
      <w:tr>
        <w:trPr/>
        <w:tc>
          <w:tcPr>
            <w:tcW w:w="24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38-4187694</w:t>
            </w:r>
          </w:p>
        </w:tc>
      </w:tr>
      <w:tr>
        <w:trPr/>
        <w:tc>
          <w:tcPr>
            <w:tcW w:w="24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91" w:type="dxa"/>
            <w:tcBorders/>
            <w:tcMar>
              <w:top w:w="0" w:type="dxa"/>
              <w:left w:w="0" w:type="dxa"/>
              <w:bottom w:w="0" w:type="dxa"/>
              <w:right w:w="0" w:type="dxa"/>
            </w:tcMar>
            <w:vAlign w:val="center"/>
          </w:tcPr>
          <w:p>
            <w:pPr>
              <w:pStyle w:val="TableContents"/>
              <w:bidi w:val="0"/>
              <w:spacing w:before="100" w:after="283"/>
              <w:jc w:val="center"/>
              <w:rPr>
                <w:rFonts w:ascii="Times New Roman" w:hAnsi="Times New Roman"/>
                <w:b/>
                <w:color w:val="000000"/>
                <w:sz w:val="20"/>
              </w:rPr>
            </w:pPr>
            <w:r>
              <w:rPr>
                <w:rFonts w:ascii="Times New Roman" w:hAnsi="Times New Roman"/>
                <w:b/>
                <w:color w:val="000000"/>
                <w:sz w:val="20"/>
              </w:rPr>
              <w:t>890 Winter Street,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(781) 208-2466</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80" w:type="dxa"/>
        <w:jc w:val="left"/>
        <w:tblInd w:w="0" w:type="dxa"/>
        <w:tblLayout w:type="fixed"/>
        <w:tblCellMar>
          <w:top w:w="28" w:type="dxa"/>
          <w:left w:w="28" w:type="dxa"/>
          <w:bottom w:w="28" w:type="dxa"/>
          <w:right w:w="28" w:type="dxa"/>
        </w:tblCellMar>
      </w:tblPr>
      <w:tblGrid>
        <w:gridCol w:w="3196"/>
        <w:gridCol w:w="146"/>
        <w:gridCol w:w="751"/>
        <w:gridCol w:w="146"/>
        <w:gridCol w:w="294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UPB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0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00" w:after="283"/>
        <w:jc w:val="left"/>
        <w:rPr>
          <w:rFonts w:ascii="Times New Roman" w:hAnsi="Times New Roman"/>
          <w:sz w:val="20"/>
        </w:rPr>
      </w:pPr>
      <w:r>
        <w:rPr>
          <w:rFonts w:ascii="Times New Roman" w:hAnsi="Times New Roman"/>
          <w:color w:val="000000"/>
          <w:sz w:val="18"/>
        </w:rPr>
        <w:t>As of August 4, 2026, the registrant had</w:t>
      </w:r>
      <w:r>
        <w:rPr>
          <w:rFonts w:ascii="Times New Roman" w:hAnsi="Times New Roman"/>
          <w:color w:val="000000"/>
          <w:sz w:val="20"/>
        </w:rPr>
        <w:t xml:space="preserve"> </w:t>
      </w:r>
      <w:r>
        <w:rPr>
          <w:rFonts w:ascii="Times New Roman" w:hAnsi="Times New Roman"/>
          <w:color w:val="000000"/>
          <w:sz w:val="18"/>
        </w:rPr>
        <w:t>54,771,041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express or implied forward-looking statements that are based on our management’s belief and assumptions and on information currently available to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pStyle w:val="TextBody"/>
        <w:bidi w:val="0"/>
        <w:spacing w:before="240" w:after="240"/>
        <w:jc w:val="left"/>
        <w:rPr>
          <w:color w:val="000000"/>
        </w:rPr>
      </w:pPr>
      <w:r>
        <w:rPr>
          <w:color w:val="000000"/>
        </w:rPr>
        <w: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initiation, timing, progress, and results of our planned and future clinical trials for verekitug, for the treatment of severe asthma, chronic rhinosinusitis with nasal polyps (“CRSwNP”) and chronic obstructive pulmonary disease (“COPD”);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replicate positive results from earlier preclinical studies or clinical trials conducted by us or third parties in current or future clinical trials;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demonstrate that verekitug and any potential future product candidates are safe and effective for their proposed indications and our expectations around their beneficial characteristics and therapeutic effects;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advance verekitug and any potential future product candidates through applicable regulatory approval processes, including timing of Investigational New Drug (“IND”) applications and final U.S. Food and Drug Administration (“FDA”) approval of verekitug or any future product candidate;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estimates of the number of patients that we will enroll and our ability to initiate, recruit and enroll patients in and conduct and successfully complete our clinical trials at the pace we project;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implementation of our business model and strategic plans;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rely on third-party manufacturers and successfully manufacture verekitug for preclinical use, for clinical trials and on a larger scale for commercial use, if approved;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commercialize verekitug, if approved, and obtain favorable pricing and reimbursement;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size and growth potential of the markets for verekitug and our ability to serve those markets;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realize the benefits of collaborations for the development and commercialization of verekitug or any other potential future product candidates;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maintain, expand and protect our intellectual property;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other jurisdictions;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general economic, industry, market conditions and geopolitical developments, including interest rates, capital market disruptions, changes in or disruptions of U.S. governmental agencies, including leadership changes, new or increased tariffs and retaliatory tariffs, trade protection measures, economic sanctions and economic slowdowns or recessions,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military conflicts, such as the ongoing conflicts between Russia and Ukraine, the U.S. and Iran, and in the Middle East, and inflationary pressures;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attract, hire, and retain our key personnel and additional qualified personnel;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anticipated use of our existing cash, cash equivalents and short-term investments;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Investors should not rely on such forward-looking statements because they involve known and unknown risks, uncertainties and other factors, which are, in some cases, beyond our control and which could materially affect results. Factors that may cause actual results to differ materially from those implied or projected by forward-looking statements include, among other things, those listed under the section titled “Risk Factors” and elsewhere in this Quarterly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Investors should read this Quarterly Report, the documents that we reference in this Quarterly Report and the other documents that we file with the Securities and Exchange Commission (“SEC”) with the understanding that our actual future results may be materially different from any future results expressed or implied by these forward-looking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While we may elect to update these forward-looking statements at some point in the future, we have no current intention of doing so except to the extent required by applicable law. Investors should therefore not rely on these forward-looking statements as representing our views as of any date subsequent to the date of this Quarterly Report.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is subject to numerous risks and uncertainties, which include, but are not limited to, the following: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require additional funding in order to finance operations. If we are unable to raise capital when needed, or on acceptable terms, we could be forced to delay, reduce or eliminate our product development programs or commercialization efforts.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Verekitug is our only product candidate, and we are dependent on a third party having accurately generated, collected and reported data from certain preclinical studies that were previously conducted for verekitug.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successful development of pharmaceutical products involves a lengthy and expensive process and is highly uncertain.</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regulatory approval processes of the FDA, the European Medicines Agency,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Verekitug represents a novel approach to the treatment of inflammatory diseases, which makes it difficult to predict its likelihood of success and the timing and cost of development and obtaining regulatory approval.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 Our competitors may have significantly greater financial resources and expertise such that they may be more successful than us in obtaining regulatory approval and achieving widespread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expect to expand our organization, and as a result, we may encounter difficulties in managing our growth, which could disrupt our operations.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ability to develop verekitug or any other potential future product candidates and our future growth depends on attracting, hiring and retaining our key personnel and recruiting additional qualified personnel.</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or drug products when needed or at an acceptable cost.</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success is largely based upon our intellectual property and proprietary technologies, and we may be unable to protect and/or enforce our intellectual property.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in the section titled “Risk Factors” and the other information set forth in this Quarterly Report, as well as in other documents that we file with the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178" w:type="dxa"/>
        <w:jc w:val="left"/>
        <w:tblInd w:w="0" w:type="dxa"/>
        <w:tblLayout w:type="fixed"/>
        <w:tblCellMar>
          <w:top w:w="28" w:type="dxa"/>
          <w:left w:w="28" w:type="dxa"/>
          <w:bottom w:w="28" w:type="dxa"/>
          <w:right w:w="28" w:type="dxa"/>
        </w:tblCellMar>
      </w:tblPr>
      <w:tblGrid>
        <w:gridCol w:w="1056"/>
        <w:gridCol w:w="7611"/>
        <w:gridCol w:w="511"/>
      </w:tblGrid>
      <w:tr>
        <w:trPr/>
        <w:tc>
          <w:tcPr>
            <w:tcW w:w="1056" w:type="dxa"/>
            <w:tcBorders/>
            <w:vAlign w:val="center"/>
          </w:tcPr>
          <w:p>
            <w:pPr>
              <w:pStyle w:val="TableContents"/>
              <w:bidi w:val="0"/>
              <w:spacing w:before="0" w:after="283"/>
              <w:jc w:val="left"/>
              <w:rPr>
                <w:sz w:val="4"/>
                <w:szCs w:val="4"/>
              </w:rPr>
            </w:pPr>
            <w:r>
              <w:rPr>
                <w:sz w:val="4"/>
                <w:szCs w:val="4"/>
              </w:rPr>
            </w:r>
          </w:p>
        </w:tc>
        <w:tc>
          <w:tcPr>
            <w:tcW w:w="76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19"/>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
              <w:r>
                <w:rPr>
                  <w:rStyle w:val="InternetLink"/>
                  <w:rFonts w:ascii="Times New Roman" w:hAnsi="Times New Roman"/>
                  <w:color w:val="0000FF"/>
                  <w:sz w:val="19"/>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balance_sheets">
              <w:r>
                <w:rPr>
                  <w:rStyle w:val="InternetLink"/>
                  <w:rFonts w:ascii="Times New Roman" w:hAnsi="Times New Roman"/>
                  <w:color w:val="0000FF"/>
                  <w:sz w:val="19"/>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comprehensive_loss">
              <w:r>
                <w:rPr>
                  <w:rStyle w:val="InternetLink"/>
                  <w:rFonts w:ascii="Times New Roman" w:hAnsi="Times New Roman"/>
                  <w:color w:val="0000FF"/>
                  <w:sz w:val="19"/>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_of_stockholders">
              <w:r>
                <w:rPr>
                  <w:rStyle w:val="InternetLink"/>
                  <w:rFonts w:ascii="Times New Roman" w:hAnsi="Times New Roman"/>
                  <w:color w:val="0000FF"/>
                  <w:sz w:val="19"/>
                  <w:u w:val="single"/>
                </w:rPr>
                <w:t>Condensed Consolidated Statement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_of_stockholders_2">
              <w:r>
                <w:rPr>
                  <w:rStyle w:val="InternetLink"/>
                  <w:rFonts w:ascii="Times New Roman" w:hAnsi="Times New Roman"/>
                  <w:color w:val="0000FF"/>
                  <w:sz w:val="19"/>
                  <w:u w:val="single"/>
                </w:rPr>
                <w:t>Condensed Consolidated Statement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cash_flows">
              <w:r>
                <w:rPr>
                  <w:rStyle w:val="InternetLink"/>
                  <w:rFonts w:ascii="Times New Roman" w:hAnsi="Times New Roman"/>
                  <w:color w:val="0000FF"/>
                  <w:sz w:val="19"/>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_to_condensed_consolidated">
              <w:r>
                <w:rPr>
                  <w:rStyle w:val="InternetLink"/>
                  <w:rFonts w:ascii="Times New Roman" w:hAnsi="Times New Roman"/>
                  <w:color w:val="0000FF"/>
                  <w:sz w:val="19"/>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mda">
              <w:r>
                <w:rPr>
                  <w:rStyle w:val="InternetLink"/>
                  <w:rFonts w:ascii="Times New Roman" w:hAnsi="Times New Roman"/>
                  <w:color w:val="0000FF"/>
                  <w:sz w:val="19"/>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
              <w:r>
                <w:rPr>
                  <w:rStyle w:val="InternetLink"/>
                  <w:rFonts w:ascii="Times New Roman" w:hAnsi="Times New Roman"/>
                  <w:color w:val="0000FF"/>
                  <w:sz w:val="19"/>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
              <w:r>
                <w:rPr>
                  <w:rStyle w:val="InternetLink"/>
                  <w:rFonts w:ascii="Times New Roman" w:hAnsi="Times New Roman"/>
                  <w:color w:val="0000FF"/>
                  <w:sz w:val="19"/>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19"/>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_legal_proceedings">
              <w:r>
                <w:rPr>
                  <w:rStyle w:val="InternetLink"/>
                  <w:rFonts w:ascii="Times New Roman" w:hAnsi="Times New Roman"/>
                  <w:color w:val="0000FF"/>
                  <w:sz w:val="19"/>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1A.</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
              <w:r>
                <w:rPr>
                  <w:rStyle w:val="InternetLink"/>
                  <w:rFonts w:ascii="Times New Roman" w:hAnsi="Times New Roman"/>
                  <w:color w:val="0000FF"/>
                  <w:sz w:val="19"/>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2.</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2_unregistered_sales">
              <w:r>
                <w:rPr>
                  <w:rStyle w:val="InternetLink"/>
                  <w:rFonts w:ascii="Times New Roman" w:hAnsi="Times New Roman"/>
                  <w:color w:val="0000FF"/>
                  <w:sz w:val="19"/>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3.</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3_defaults_upon">
              <w:r>
                <w:rPr>
                  <w:rStyle w:val="InternetLink"/>
                  <w:rFonts w:ascii="Times New Roman" w:hAnsi="Times New Roman"/>
                  <w:color w:val="0000FF"/>
                  <w:sz w:val="19"/>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4.</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19"/>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5.</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5_other_information">
              <w:r>
                <w:rPr>
                  <w:rStyle w:val="InternetLink"/>
                  <w:rFonts w:ascii="Times New Roman" w:hAnsi="Times New Roman"/>
                  <w:color w:val="0000FF"/>
                  <w:sz w:val="19"/>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105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Item 6.</w:t>
            </w:r>
          </w:p>
        </w:tc>
        <w:tc>
          <w:tcPr>
            <w:tcW w:w="761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item_6_exhibits">
              <w:r>
                <w:rPr>
                  <w:rStyle w:val="InternetLink"/>
                  <w:rFonts w:ascii="Times New Roman" w:hAnsi="Times New Roman"/>
                  <w:color w:val="0000FF"/>
                  <w:sz w:val="19"/>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6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9"/>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Upstream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057" w:type="dxa"/>
        <w:jc w:val="left"/>
        <w:tblInd w:w="0" w:type="dxa"/>
        <w:tblLayout w:type="fixed"/>
        <w:tblCellMar>
          <w:top w:w="28" w:type="dxa"/>
          <w:left w:w="28" w:type="dxa"/>
          <w:bottom w:w="28" w:type="dxa"/>
          <w:right w:w="28" w:type="dxa"/>
        </w:tblCellMar>
      </w:tblPr>
      <w:tblGrid>
        <w:gridCol w:w="5841"/>
        <w:gridCol w:w="146"/>
        <w:gridCol w:w="211"/>
        <w:gridCol w:w="841"/>
        <w:gridCol w:w="166"/>
        <w:gridCol w:w="146"/>
        <w:gridCol w:w="219"/>
        <w:gridCol w:w="876"/>
        <w:gridCol w:w="611"/>
      </w:tblGrid>
      <w:tr>
        <w:trPr/>
        <w:tc>
          <w:tcPr>
            <w:tcW w:w="5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10,000,000 shares authorized at </w:t>
              <w:br/>
              <w:t xml:space="preserve">   June 30, 2026 and December 31, 2025; no shares issued and </w:t>
              <w:br/>
              <w:t>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500,000,000 shares authorized at </w:t>
              <w:br/>
              <w:t xml:space="preserve">   June 30, 2026 and December 31, 2025; 54,771,041 and </w:t>
              <w:br/>
              <w:t xml:space="preserve">   54,237,750 shares issued and outstanding at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w:t>
      </w:r>
      <w:r>
        <w:rPr>
          <w:rFonts w:ascii="Times New Roman" w:hAnsi="Times New Roman"/>
          <w:color w:val="000000"/>
          <w:sz w:val="20"/>
        </w:rPr>
        <w:t xml:space="preserve"> </w:t>
      </w:r>
      <w:r>
        <w:rPr>
          <w:rFonts w:ascii="Times New Roman" w:hAnsi="Times New Roman"/>
          <w:i/>
          <w:color w:val="000000"/>
          <w:sz w:val="20"/>
        </w:rPr>
        <w:t>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Upstream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mprehensive_loss"/>
      <w:bookmarkEnd w:id="5"/>
      <w:r>
        <w:rPr>
          <w:rFonts w:ascii="Times New Roman" w:hAnsi="Times New Roman"/>
          <w:b/>
          <w:color w:val="000000"/>
          <w:sz w:val="20"/>
        </w:rPr>
        <w:t>Condensed consolidated statements of operations and</w:t>
      </w:r>
      <w:r>
        <w:rPr>
          <w:rFonts w:ascii="Times New Roman" w:hAnsi="Times New Roman"/>
          <w:color w:val="000000"/>
          <w:sz w:val="20"/>
        </w:rPr>
        <w:t xml:space="preserve"> </w:t>
      </w:r>
      <w:r>
        <w:rPr>
          <w:rFonts w:ascii="Times New Roman" w:hAnsi="Times New Roman"/>
          <w:b/>
          <w:color w:val="000000"/>
          <w:sz w:val="20"/>
        </w:rPr>
        <w:t>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2"/>
        <w:gridCol w:w="146"/>
        <w:gridCol w:w="146"/>
        <w:gridCol w:w="146"/>
        <w:gridCol w:w="146"/>
        <w:gridCol w:w="146"/>
        <w:gridCol w:w="146"/>
        <w:gridCol w:w="146"/>
        <w:gridCol w:w="211"/>
        <w:gridCol w:w="1036"/>
        <w:gridCol w:w="166"/>
        <w:gridCol w:w="146"/>
        <w:gridCol w:w="211"/>
        <w:gridCol w:w="1036"/>
        <w:gridCol w:w="166"/>
        <w:gridCol w:w="146"/>
        <w:gridCol w:w="146"/>
        <w:gridCol w:w="211"/>
        <w:gridCol w:w="1036"/>
        <w:gridCol w:w="166"/>
        <w:gridCol w:w="146"/>
        <w:gridCol w:w="211"/>
        <w:gridCol w:w="1036"/>
        <w:gridCol w:w="611"/>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w:t>
              <w:br/>
              <w:t>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54,567,976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53,770,868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54,450,798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53,694,424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8" w:type="dxa"/>
            <w:gridSpan w:val="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w:t>
      </w:r>
      <w:r>
        <w:rPr>
          <w:rFonts w:ascii="Times New Roman" w:hAnsi="Times New Roman"/>
          <w:color w:val="000000"/>
          <w:sz w:val="20"/>
        </w:rPr>
        <w:t xml:space="preserve"> </w:t>
      </w:r>
      <w:r>
        <w:rPr>
          <w:rFonts w:ascii="Times New Roman" w:hAnsi="Times New Roman"/>
          <w:i/>
          <w:color w:val="000000"/>
          <w:sz w:val="20"/>
        </w:rPr>
        <w:t>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Upstream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statement_of_stockholders"/>
      <w:bookmarkEnd w:id="6"/>
      <w:r>
        <w:rPr>
          <w:rFonts w:ascii="Times New Roman" w:hAnsi="Times New Roman"/>
          <w:b/>
          <w:color w:val="000000"/>
          <w:sz w:val="20"/>
        </w:rPr>
        <w:t>Condensed consolidated statement of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88"/>
        <w:gridCol w:w="146"/>
        <w:gridCol w:w="146"/>
        <w:gridCol w:w="916"/>
        <w:gridCol w:w="146"/>
        <w:gridCol w:w="146"/>
        <w:gridCol w:w="249"/>
        <w:gridCol w:w="442"/>
        <w:gridCol w:w="146"/>
        <w:gridCol w:w="146"/>
        <w:gridCol w:w="198"/>
        <w:gridCol w:w="699"/>
        <w:gridCol w:w="146"/>
        <w:gridCol w:w="146"/>
        <w:gridCol w:w="217"/>
        <w:gridCol w:w="834"/>
        <w:gridCol w:w="166"/>
        <w:gridCol w:w="146"/>
        <w:gridCol w:w="435"/>
        <w:gridCol w:w="968"/>
        <w:gridCol w:w="166"/>
        <w:gridCol w:w="146"/>
        <w:gridCol w:w="231"/>
        <w:gridCol w:w="821"/>
        <w:gridCol w:w="215"/>
      </w:tblGrid>
      <w:tr>
        <w:trPr/>
        <w:tc>
          <w:tcPr>
            <w:tcW w:w="2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53,603,398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Unrealized gain on available-for-sale securities,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53,640,895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Unrealized loss on available-for-sale securities,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53,798,151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666,447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408,743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w:t>
      </w:r>
      <w:r>
        <w:rPr>
          <w:rFonts w:ascii="Times New Roman" w:hAnsi="Times New Roman"/>
          <w:color w:val="000000"/>
          <w:sz w:val="20"/>
        </w:rPr>
        <w:t xml:space="preserve"> </w:t>
      </w:r>
      <w:r>
        <w:rPr>
          <w:rFonts w:ascii="Times New Roman" w:hAnsi="Times New Roman"/>
          <w:i/>
          <w:color w:val="000000"/>
          <w:sz w:val="20"/>
        </w:rPr>
        <w:t>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Upstream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_of_stockholders_2"/>
      <w:bookmarkEnd w:id="7"/>
      <w:r>
        <w:rPr>
          <w:rFonts w:ascii="Times New Roman" w:hAnsi="Times New Roman"/>
          <w:b/>
          <w:color w:val="000000"/>
          <w:sz w:val="20"/>
        </w:rPr>
        <w:t>Condensed consolidated statement of stockholders’ equity</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41"/>
        <w:gridCol w:w="146"/>
        <w:gridCol w:w="146"/>
        <w:gridCol w:w="916"/>
        <w:gridCol w:w="146"/>
        <w:gridCol w:w="146"/>
        <w:gridCol w:w="249"/>
        <w:gridCol w:w="442"/>
        <w:gridCol w:w="146"/>
        <w:gridCol w:w="146"/>
        <w:gridCol w:w="197"/>
        <w:gridCol w:w="697"/>
        <w:gridCol w:w="146"/>
        <w:gridCol w:w="146"/>
        <w:gridCol w:w="217"/>
        <w:gridCol w:w="834"/>
        <w:gridCol w:w="166"/>
        <w:gridCol w:w="146"/>
        <w:gridCol w:w="420"/>
        <w:gridCol w:w="937"/>
        <w:gridCol w:w="166"/>
        <w:gridCol w:w="146"/>
        <w:gridCol w:w="230"/>
        <w:gridCol w:w="818"/>
        <w:gridCol w:w="215"/>
      </w:tblGrid>
      <w:tr>
        <w:trPr/>
        <w:tc>
          <w:tcPr>
            <w:tcW w:w="2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54,237,750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339,771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Unrealized loss on available-for-sale securities,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(40,591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54,419,986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303,995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in connection with at-the-market </w:t>
              <w:br/>
              <w:t>   program,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Unrealized loss on available-for-sale securities,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54,771,041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270,957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w:t>
      </w:r>
      <w:r>
        <w:rPr>
          <w:rFonts w:ascii="Times New Roman" w:hAnsi="Times New Roman"/>
          <w:color w:val="000000"/>
          <w:sz w:val="20"/>
        </w:rPr>
        <w:t xml:space="preserve"> </w:t>
      </w:r>
      <w:r>
        <w:rPr>
          <w:rFonts w:ascii="Times New Roman" w:hAnsi="Times New Roman"/>
          <w:i/>
          <w:color w:val="000000"/>
          <w:sz w:val="20"/>
        </w:rPr>
        <w:t>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Upstream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amortization of premiums and accretion of discounts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(323,138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Proceeds from issuance of common stock in connection with at-the-market offering, net </w:t>
              <w:br/>
              <w: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initial public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these unaudited condensed</w:t>
      </w:r>
      <w:r>
        <w:rPr>
          <w:rFonts w:ascii="Times New Roman" w:hAnsi="Times New Roman"/>
          <w:color w:val="000000"/>
          <w:sz w:val="20"/>
        </w:rPr>
        <w:t xml:space="preserve"> </w:t>
      </w:r>
      <w:r>
        <w:rPr>
          <w:rFonts w:ascii="Times New Roman" w:hAnsi="Times New Roman"/>
          <w:i/>
          <w:color w:val="000000"/>
          <w:sz w:val="20"/>
        </w:rPr>
        <w:t>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bookmarkStart w:id="9" w:name="notes_to_condensed_consolidated"/>
      <w:bookmarkEnd w:id="9"/>
      <w:r>
        <w:rPr/>
        <w:t> </w:t>
      </w:r>
    </w:p>
    <w:p>
      <w:pPr>
        <w:pStyle w:val="TextBody"/>
        <w:bidi w:val="0"/>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Upstream Bio, Inc. was incorporated in April 2021, under the laws of the State of Delaware, and along with its consolidated subsidiary (collectively, the “Company” or “Upstream”), is focused on developing treatments for severe inflammatory respiratory diseases. Since its inception, the Company has devoted substantially all of its efforts to raising capital and incurring research and development expenses related to advancing verekitug, a clinical-stage monoclonal antibody that targets and inhibits the Thymic Stromal Lymphopoietin receptor.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early-stage companies in the biopharmaceutical industry, including, but not limited to, the successful development of verekitug,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verekitug.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 </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evaluated whether there are conditions and events, considered in the aggregate, that raise substantial doubt about the Company’s ability to continue as a going concern within one year from the issuance of these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the basis of continuity of operations, realization of assets and the satisfaction of liabilities and commitments in the ordinary course of business. To date, the Company has financed its operations primarily through equity financings, proceeds from its initial public offering (“IPO”) and sales of common stock pursuant to its ATM Program (as defined below). As of June 30, 2026, the Company has received an aggregate of $670.9 million from such transactions, including gross proceeds of $400.0 million from the issuance and sale of its redeemable convertible preferred stock, $268.8 million in net proceeds from the closing of its IPO and $2.1 million in net proceeds from sales of common stock under its ATM program. The Company incurred net losses of $80.3 million and $67.2 million for the six months ended June 30, 2026 and 2025, respectively. As of June 30, 2026, the Company had an accumulated deficit of $414.5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5, 2025, the Company filed an automatic shelf registration statement on Form S-3ASR (the “2025 Shelf”), including the base prospectus included therein (File No. 333-291267), with the SEC, pursuant to which the Company may issue shares of its common stock, preferred stock, debt securities, warrants and/or units, which became automatically effective upon filing pursuant to Rule 462(e) of the Securities Act of 1933, as amended (the “Securities Act”). On March 26, 2026, the Company entered into a Sales Agreement (the “Sales Agreement”) with Leerink Partners LLC, acting as its sales agent and/or principal (the “Sales Agent”), with respect to an “at-the-market offering” program under which the Company may, from time to time, at its sole discretion, offer and sell shares of its common stock having an aggregate offering price of up to $150.0 million through the Sales Agent (the “ATM Program”). In connection with the ATM Program, the Company filed a prospectus supplement with the SEC on March 26, 2026 (the “ATM Prospectus”) for the offer and sale of up to $150.0 million of shares of its common stock from time to time through the Sales Agent (the “ATM Shares”). The Sales Agent will be entitled to a commission of up to 3.0% of the gross proceeds from each sale of the ATM Shares effectuated through or to the Sales Agent selling the ATM Shares. The Company is not obligated to make any sales of the ATM Shares under the Sales Agreement. As of June 30, 2026, the Company has sold 239,797 shares under the ATM Program, resulting in net proceeds to the Company of approximately $2.1 million after deducting approximately $0.1 million of commissions paid to the Sales Agent.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incurred recurring losses and negative cash flows from operations since its inception and expects to continue to incur losses and negative cash flows for the foreseeable future as it continues the research and development of verekitug. The Company expects its cash, cash equivalents and short-term investments will be sufficient to fund its operating expenses and capital expenditure requirements for at least the next twelve months from the date of issuance of these condensed consolidated financial statements. The Company will need additional financing to support its continuing operations and pursue its growth strategy. Until such time as the Company can generate significant product revenue, if ever, the Company expects to fund its operations through equity offerings or debt financings, credit or loan facilities, potentially other capital resources, or a combination of one or more of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rFonts w:ascii="Times New Roman" w:hAnsi="Times New Roman"/>
          <w:color w:val="000000"/>
          <w:sz w:val="20"/>
        </w:rPr>
      </w:pPr>
      <w:r>
        <w:rPr>
          <w:rFonts w:ascii="Times New Roman" w:hAnsi="Times New Roman"/>
          <w:color w:val="000000"/>
          <w:sz w:val="20"/>
        </w:rPr>
        <w:t xml:space="preserve">funding sources. The terms of any financing may adversely affect the holdings or the rights of the Company’s stockholders. The Company’s failure to raise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Although management continues to pursue these plans, there is no assurance that the Company will be successful in obtaining sufficient funding on terms acceptable to the Company to fund continuing operations,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reflect the operations of the Company. Intercompany balances and transactions have been eliminated in consolidation. The accompanying unaudited condensed consolidated financial statements have been prepared in accordance with accounting principles generally accepted in the United States of America (“U.S. GAAP”) for interim financial reporting and as required by Regulation S-X, Rule 10-01. Any reference in these notes to applicable guidance is meant to refer to the authoritative U.S. GAAP as found in the Accounting Standards Codification (“ASC”) and Accounting Standards Update (“ASU”) of the Financial Accounting Standards Board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June 30, 2026 and the results of operations for the three and six months ended June 30, 2026 and 2025. The condensed balance sheet as of December 31, 2025 was derived from audited annual financial statements but does not include all disclosures required by U.S. GAAP. The results of operations for the interim periods are not necessarily indicative of results to be expected for the year ending December 31, 2026, any other interim periods, or any future year or period.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disclosed in Note 2 of the “Notes to Consolidated Financial Statements” in the audited annual financial statements included in the Company's Annual Report on Form 10-K for the fiscal year ended December 31, 2025. Since the date of those financial statements, there have been no material changes to its significant accounting policies.</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condensed consolidated financial statements include, but are not limited to, prepaid and accrued research and development expenses, including those related to contract research organizations (“CROs”), contract manufacturing organizations (“CMOs”) and other third-party vendors and the valuation of the Company’s stock-based awards. Changes in estimates are recorded in the period in which they become known.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and liabilities measured at fair value on a recurring basis and indicate the level of the fair value hierarchy used to determine such fair values (in thousands):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2696"/>
        <w:gridCol w:w="146"/>
        <w:gridCol w:w="211"/>
        <w:gridCol w:w="676"/>
        <w:gridCol w:w="146"/>
        <w:gridCol w:w="146"/>
        <w:gridCol w:w="211"/>
        <w:gridCol w:w="781"/>
        <w:gridCol w:w="146"/>
        <w:gridCol w:w="146"/>
        <w:gridCol w:w="239"/>
        <w:gridCol w:w="391"/>
        <w:gridCol w:w="146"/>
        <w:gridCol w:w="146"/>
        <w:gridCol w:w="211"/>
        <w:gridCol w:w="781"/>
        <w:gridCol w:w="591"/>
      </w:tblGrid>
      <w:tr>
        <w:trPr/>
        <w:tc>
          <w:tcPr>
            <w:tcW w:w="2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at </w:t>
              <w:b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2696"/>
        <w:gridCol w:w="146"/>
        <w:gridCol w:w="211"/>
        <w:gridCol w:w="676"/>
        <w:gridCol w:w="146"/>
        <w:gridCol w:w="146"/>
        <w:gridCol w:w="211"/>
        <w:gridCol w:w="781"/>
        <w:gridCol w:w="146"/>
        <w:gridCol w:w="146"/>
        <w:gridCol w:w="239"/>
        <w:gridCol w:w="391"/>
        <w:gridCol w:w="146"/>
        <w:gridCol w:w="146"/>
        <w:gridCol w:w="211"/>
        <w:gridCol w:w="781"/>
        <w:gridCol w:w="591"/>
      </w:tblGrid>
      <w:tr>
        <w:trPr/>
        <w:tc>
          <w:tcPr>
            <w:tcW w:w="2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Measurements at </w:t>
              <w:b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340,788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2026 and for the year ended December 31, 2025, there were no transfers between Level 1, Level 2 and Level 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classifies its U.S. treasury securities, corporate debt securities and government agency bonds as short-term based on each instrument’s availability for use in current operations. The fair value of the Company’s U.S. treasury securities, corporate debt securities and government agency bonds are classified as Level 2 because they are valued using observable inputs to quoted market prices, benchmark yields, reported trades, broker/dealer quotes or alternative pricing sources with reasonable levels of price transparency.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Short-term investments consisted of the following (in thousands): </w:t>
      </w:r>
    </w:p>
    <w:p>
      <w:pPr>
        <w:pStyle w:val="TextBody"/>
        <w:bidi w:val="0"/>
        <w:jc w:val="left"/>
        <w:rPr/>
      </w:pPr>
      <w:r>
        <w:rPr/>
        <w:t> </w:t>
      </w:r>
    </w:p>
    <w:tbl>
      <w:tblPr>
        <w:tblW w:w="8623" w:type="dxa"/>
        <w:jc w:val="left"/>
        <w:tblInd w:w="0" w:type="dxa"/>
        <w:tblLayout w:type="fixed"/>
        <w:tblCellMar>
          <w:top w:w="28" w:type="dxa"/>
          <w:left w:w="28" w:type="dxa"/>
          <w:bottom w:w="28" w:type="dxa"/>
          <w:right w:w="28" w:type="dxa"/>
        </w:tblCellMar>
      </w:tblPr>
      <w:tblGrid>
        <w:gridCol w:w="2506"/>
        <w:gridCol w:w="146"/>
        <w:gridCol w:w="211"/>
        <w:gridCol w:w="781"/>
        <w:gridCol w:w="146"/>
        <w:gridCol w:w="146"/>
        <w:gridCol w:w="510"/>
        <w:gridCol w:w="840"/>
        <w:gridCol w:w="146"/>
        <w:gridCol w:w="146"/>
        <w:gridCol w:w="411"/>
        <w:gridCol w:w="939"/>
        <w:gridCol w:w="166"/>
        <w:gridCol w:w="146"/>
        <w:gridCol w:w="211"/>
        <w:gridCol w:w="78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623" w:type="dxa"/>
        <w:jc w:val="left"/>
        <w:tblInd w:w="0" w:type="dxa"/>
        <w:tblLayout w:type="fixed"/>
        <w:tblCellMar>
          <w:top w:w="28" w:type="dxa"/>
          <w:left w:w="28" w:type="dxa"/>
          <w:bottom w:w="28" w:type="dxa"/>
          <w:right w:w="28" w:type="dxa"/>
        </w:tblCellMar>
      </w:tblPr>
      <w:tblGrid>
        <w:gridCol w:w="2506"/>
        <w:gridCol w:w="146"/>
        <w:gridCol w:w="211"/>
        <w:gridCol w:w="781"/>
        <w:gridCol w:w="146"/>
        <w:gridCol w:w="146"/>
        <w:gridCol w:w="449"/>
        <w:gridCol w:w="901"/>
        <w:gridCol w:w="146"/>
        <w:gridCol w:w="146"/>
        <w:gridCol w:w="510"/>
        <w:gridCol w:w="840"/>
        <w:gridCol w:w="166"/>
        <w:gridCol w:w="146"/>
        <w:gridCol w:w="211"/>
        <w:gridCol w:w="781"/>
        <w:gridCol w:w="3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contractual maturities of the Company’s short-term investments in available-for-sale securities held were as follows (in thousands): </w:t>
      </w:r>
    </w:p>
    <w:p>
      <w:pPr>
        <w:pStyle w:val="TextBody"/>
        <w:bidi w:val="0"/>
        <w:jc w:val="left"/>
        <w:rPr/>
      </w:pPr>
      <w:r>
        <w:rPr/>
        <w:t> </w:t>
      </w:r>
    </w:p>
    <w:tbl>
      <w:tblPr>
        <w:tblW w:w="6412"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319"/>
        <w:gridCol w:w="1181"/>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4. 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6312" w:type="dxa"/>
        <w:jc w:val="left"/>
        <w:tblInd w:w="0" w:type="dxa"/>
        <w:tblLayout w:type="fixed"/>
        <w:tblCellMar>
          <w:top w:w="28" w:type="dxa"/>
          <w:left w:w="28" w:type="dxa"/>
          <w:bottom w:w="28" w:type="dxa"/>
          <w:right w:w="28" w:type="dxa"/>
        </w:tblCellMar>
      </w:tblPr>
      <w:tblGrid>
        <w:gridCol w:w="3601"/>
        <w:gridCol w:w="146"/>
        <w:gridCol w:w="211"/>
        <w:gridCol w:w="676"/>
        <w:gridCol w:w="146"/>
        <w:gridCol w:w="146"/>
        <w:gridCol w:w="294"/>
        <w:gridCol w:w="801"/>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6694" w:type="dxa"/>
        <w:jc w:val="left"/>
        <w:tblInd w:w="0" w:type="dxa"/>
        <w:tblLayout w:type="fixed"/>
        <w:tblCellMar>
          <w:top w:w="28" w:type="dxa"/>
          <w:left w:w="28" w:type="dxa"/>
          <w:bottom w:w="28" w:type="dxa"/>
          <w:right w:w="28" w:type="dxa"/>
        </w:tblCellMar>
      </w:tblPr>
      <w:tblGrid>
        <w:gridCol w:w="4156"/>
        <w:gridCol w:w="219"/>
        <w:gridCol w:w="501"/>
        <w:gridCol w:w="166"/>
        <w:gridCol w:w="146"/>
        <w:gridCol w:w="333"/>
        <w:gridCol w:w="762"/>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net was less than $0.1 million for each of the three months ended June 30, 2026 and 2025, and $0.1 million for each of the six months ended June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6901" w:type="dxa"/>
        <w:jc w:val="left"/>
        <w:tblInd w:w="0" w:type="dxa"/>
        <w:tblLayout w:type="fixed"/>
        <w:tblCellMar>
          <w:top w:w="28" w:type="dxa"/>
          <w:left w:w="28" w:type="dxa"/>
          <w:bottom w:w="28" w:type="dxa"/>
          <w:right w:w="28" w:type="dxa"/>
        </w:tblCellMar>
      </w:tblPr>
      <w:tblGrid>
        <w:gridCol w:w="4441"/>
        <w:gridCol w:w="211"/>
        <w:gridCol w:w="571"/>
        <w:gridCol w:w="146"/>
        <w:gridCol w:w="146"/>
        <w:gridCol w:w="260"/>
        <w:gridCol w:w="835"/>
        <w:gridCol w:w="291"/>
      </w:tblGrid>
      <w:tr>
        <w:trPr/>
        <w:tc>
          <w:tcPr>
            <w:tcW w:w="4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consultant and professional fees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7.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was a party to a lease related to commercial real estate under a non-cancelable lease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2024, the Company entered into an operating lease agreement for office space located at 890 Winter Street in Waltham, Massachusetts. The lease commenced in September 2024 and the Company began paying monthly rent starting one month thereafter. The Company occupies approximately 16,801 square feet of space under a three-year agreement expiring in October 2027. Initial base rent was approximately $0.7 million for the first year and approximately $0.8 million for the second and third year. </w:t>
      </w:r>
    </w:p>
    <w:p>
      <w:pPr>
        <w:pStyle w:val="TextBody"/>
        <w:bidi w:val="0"/>
        <w:spacing w:before="360" w:after="283"/>
        <w:jc w:val="left"/>
        <w:rPr>
          <w:rFonts w:ascii="Times New Roman" w:hAnsi="Times New Roman"/>
          <w:sz w:val="20"/>
        </w:rPr>
      </w:pPr>
      <w:r>
        <w:rPr>
          <w:rFonts w:ascii="Times New Roman" w:hAnsi="Times New Roman"/>
          <w:b/>
          <w:color w:val="000000"/>
          <w:sz w:val="20"/>
        </w:rPr>
        <w:t>8.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 When dividends are declared on shares of common stock, the Company must declare at the same time a dividend payable to the holders of Preferred Stock equivalent to the dividend amount they would receive if each share of Preferred Stock were converted into common stock. The Company may not pay dividends to common stockholders until all dividends accrued or declared but unpaid on the Preferred Stock have been paid in full. To date, no dividends have been declared.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Company’s amended and restated certificate of incorporation authorized the issuance of 500,000,000 shares of common stock, par value $0.001 per share. As of June 30, 2026 and December 31, 2025, there were 54,771,041 shares and 54,237,750 shares of common stock issued and outstanding,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2021 Stock option and grant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2021 Stock Option and Grant Plan (the “2021 Plan”) provided for the Company to grant incentive stock options, non-qualified stock options, restricted stock awards, unrestricted stock awards and restricted stock units (collectively, the “Awards”) to among others, members of the board of directors, employees, consultants and other key persons to the Company and its affiliates. The 2021 Plan is administered by the board of directors, or at the discretion of the board of directors, by a committee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effectiveness of the 2024 Stock Option and Incentive Plan (the “2024 Plan”) in October 2024, the board of directors determined that no further awards would be granted under the 2021 Plan and any remaining options available for grant would cease to be available. Awards outstanding under the 2021 Plan will continue to be governed by their existing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2024 Stock option and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19, 2024, the Company’s board of directors adopted, and on October 4, 2024 its stockholders approved, the 2024 Plan, which became effective in October 2024. The 2024 Plan allows the Company to make equity-based and cash-based incentive awards to its officers, employees, directors, and consultants. The 2024 Plan provides for the grant of incentive stock options, non-qualified stock options, stock appreciation rights, restricted stock units (“RSUs”), restricted shares of common stock and other stock-based awards. The number of shares initially reserved for issuance under the 2024 Plan is 3,180,000 shares. The number of shares reserved under the 2024 Plan is subject to adjustment in the event of a stock split, stock dividend or other change in the Company’s capitalization. In addition, the number of shares reserved and available for issuance under the 2024 Plan will automatically increase on the first day of each fiscal year, beginning with the fiscal year commencing on January 1, 2025 and continuing each January 1 thereafter, by five percent of the outstanding number of shares of its common stock on the immediately preceding December 31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lesser number of shares as determined by the Company’s compensation committee. On January 1, 2026, the number of shares of common stock that may be issued under the 2024 Plan increased by 2,711,887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shares of common stock underlying any awards under the 2024 Plan and the 2021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a total of 13,929,455 shares of common stock reserved under the 2024 Plan and the 2021 Plan and 4,312,836 shares available for future issuance under the 2024 Plan.</w:t>
      </w:r>
    </w:p>
    <w:p>
      <w:pPr>
        <w:pStyle w:val="TextBody"/>
        <w:bidi w:val="0"/>
        <w:spacing w:before="360" w:after="283"/>
        <w:jc w:val="left"/>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19, 2024, the Company’s board of directors adopted, and on October 4, 2024 its stockholders approved, the 2024 Employee Stock Purchase Plan (the “2024 ESPP”), which became effective in October 2024. A total of 488,467 shares of common stock were initially reserved for issuance to participating employees under this plan. The 2024 ESPP provides that the number of shares reserved and available for issuance will automatically increase on the first day of each fiscal year, beginning with the fiscal year commencing on January 1, 2025 and continuing each January 1 thereafter through January 1, 2034, by the least of (i) 976,934 shares of common stock, (ii) one percent of the outstanding number of shares of common stock on the immediately preceding December 31, or (iii) such lesser number of shares of common stock as determined by the administrator of the 2024 ESPP. The number of shares reserved under the 2024 ESPP is subject to adjustment in the event of a stock split, stock dividend or other change in the Company’s capitalization. On January 1, 2026, there was no increase to the number of shares of common stock that may be issued under the 2024 ESPP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54,068 shares have been issued under the 2024 ESPP.</w:t>
      </w:r>
    </w:p>
    <w:p>
      <w:pPr>
        <w:pStyle w:val="TextBody"/>
        <w:bidi w:val="0"/>
        <w:spacing w:before="12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RSU activity during the six months ended June 30, 2026:</w:t>
      </w:r>
    </w:p>
    <w:tbl>
      <w:tblPr>
        <w:tblW w:w="8605" w:type="dxa"/>
        <w:jc w:val="left"/>
        <w:tblInd w:w="0" w:type="dxa"/>
        <w:tblLayout w:type="fixed"/>
        <w:tblCellMar>
          <w:top w:w="28" w:type="dxa"/>
          <w:left w:w="28" w:type="dxa"/>
          <w:bottom w:w="28" w:type="dxa"/>
          <w:right w:w="28" w:type="dxa"/>
        </w:tblCellMar>
      </w:tblPr>
      <w:tblGrid>
        <w:gridCol w:w="4291"/>
        <w:gridCol w:w="146"/>
        <w:gridCol w:w="146"/>
        <w:gridCol w:w="784"/>
        <w:gridCol w:w="166"/>
        <w:gridCol w:w="146"/>
        <w:gridCol w:w="681"/>
        <w:gridCol w:w="1854"/>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fair value of RSUs vested during the six months ended June 30, 2026 was $0.3 million. The Company did not issue any RSUs prior to January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total unrecognized compensation expense related to RSUs was $8.4 million, which the Company expects to recognize over a remaining weighted-average period of 3.5 years.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inputs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on a weighted-average basis, the assumptions used in the Black-Scholes option-pricing model to determine the fair value of stock options granted: </w:t>
      </w:r>
    </w:p>
    <w:p>
      <w:pPr>
        <w:pStyle w:val="TextBody"/>
        <w:bidi w:val="0"/>
        <w:jc w:val="left"/>
        <w:rPr/>
      </w:pPr>
      <w:r>
        <w:rPr/>
        <w:t> </w:t>
      </w:r>
    </w:p>
    <w:tbl>
      <w:tblPr>
        <w:tblW w:w="5202" w:type="dxa"/>
        <w:jc w:val="left"/>
        <w:tblInd w:w="0" w:type="dxa"/>
        <w:tblLayout w:type="fixed"/>
        <w:tblCellMar>
          <w:top w:w="28" w:type="dxa"/>
          <w:left w:w="28" w:type="dxa"/>
          <w:bottom w:w="28" w:type="dxa"/>
          <w:right w:w="28" w:type="dxa"/>
        </w:tblCellMar>
      </w:tblPr>
      <w:tblGrid>
        <w:gridCol w:w="2086"/>
        <w:gridCol w:w="146"/>
        <w:gridCol w:w="146"/>
        <w:gridCol w:w="146"/>
        <w:gridCol w:w="146"/>
        <w:gridCol w:w="146"/>
        <w:gridCol w:w="184"/>
        <w:gridCol w:w="588"/>
        <w:gridCol w:w="342"/>
        <w:gridCol w:w="184"/>
        <w:gridCol w:w="184"/>
        <w:gridCol w:w="588"/>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activity of stock options with service-based and performance-based vesting conditions during the six months ended June 30, 2026: </w:t>
      </w:r>
    </w:p>
    <w:p>
      <w:pPr>
        <w:pStyle w:val="TextBody"/>
        <w:bidi w:val="0"/>
        <w:jc w:val="left"/>
        <w:rPr/>
      </w:pPr>
      <w:r>
        <w:rPr/>
        <w:t> </w:t>
      </w:r>
    </w:p>
    <w:tbl>
      <w:tblPr>
        <w:tblW w:w="9098" w:type="dxa"/>
        <w:jc w:val="left"/>
        <w:tblInd w:w="0" w:type="dxa"/>
        <w:tblLayout w:type="fixed"/>
        <w:tblCellMar>
          <w:top w:w="28" w:type="dxa"/>
          <w:left w:w="28" w:type="dxa"/>
          <w:bottom w:w="28" w:type="dxa"/>
          <w:right w:w="28" w:type="dxa"/>
        </w:tblCellMar>
      </w:tblPr>
      <w:tblGrid>
        <w:gridCol w:w="3571"/>
        <w:gridCol w:w="146"/>
        <w:gridCol w:w="146"/>
        <w:gridCol w:w="931"/>
        <w:gridCol w:w="166"/>
        <w:gridCol w:w="146"/>
        <w:gridCol w:w="230"/>
        <w:gridCol w:w="626"/>
        <w:gridCol w:w="146"/>
        <w:gridCol w:w="146"/>
        <w:gridCol w:w="285"/>
        <w:gridCol w:w="706"/>
        <w:gridCol w:w="146"/>
        <w:gridCol w:w="146"/>
        <w:gridCol w:w="249"/>
        <w:gridCol w:w="921"/>
        <w:gridCol w:w="3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 aggregate intrinsic value of stock options exercised during the six months ended June 30, 2026 and 2025 was $3.3 million and $0.8 million,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weighted-average grant-date fair value of options granted during the six months ended June 30, 2026 and 2025 was $16.25 and $6.84,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there was $39.7 million of total unrecognized compensation cost related to unvested stock options, which is expected to be recognized over a weighted-average period of 2.5 years.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illustrates the classification of stock-based compensation in the condensed consolidated statements of operations and comprehensive loss (in thousands):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35"/>
        <w:gridCol w:w="637"/>
        <w:gridCol w:w="162"/>
        <w:gridCol w:w="162"/>
        <w:gridCol w:w="235"/>
        <w:gridCol w:w="637"/>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June 30, 2026 or June 30, 2025. The Company’s effective federal and state tax rate for each of the six months ended June 30, 2026 and 2025 was 0%, and the Company did not record any income tax expense or benefit during each of the six months ended June 30, 2026 and 2025, primarily as a result of estimated net operating losses for the fiscal year to date offset by the increase in the valuation allowance against its deferred tax asset. All losses before income taxes arose in the United States. </w:t>
      </w:r>
    </w:p>
    <w:p>
      <w:pPr>
        <w:pStyle w:val="TextBody"/>
        <w:bidi w:val="0"/>
        <w:spacing w:before="36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(dollar amounts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4"/>
        <w:gridCol w:w="246"/>
        <w:gridCol w:w="211"/>
        <w:gridCol w:w="1036"/>
        <w:gridCol w:w="166"/>
        <w:gridCol w:w="146"/>
        <w:gridCol w:w="211"/>
        <w:gridCol w:w="1036"/>
        <w:gridCol w:w="246"/>
        <w:gridCol w:w="246"/>
        <w:gridCol w:w="211"/>
        <w:gridCol w:w="1036"/>
        <w:gridCol w:w="166"/>
        <w:gridCol w:w="146"/>
        <w:gridCol w:w="211"/>
        <w:gridCol w:w="1036"/>
        <w:gridCol w:w="391"/>
      </w:tblGrid>
      <w:tr>
        <w:trPr/>
        <w:tc>
          <w:tcPr>
            <w:tcW w:w="34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common shares outstanding, basic</w:t>
              <w:br/>
              <w:t>   and 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54,567,976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53,770,868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54,450,798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53,694,424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stockholders,</w:t>
              <w:br/>
              <w:t>   basic and 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potentially dilutive securities have been excluded from the calculation of diluted net loss per share due to their anti-dilutive effect: </w:t>
      </w:r>
    </w:p>
    <w:p>
      <w:pPr>
        <w:pStyle w:val="TextBody"/>
        <w:bidi w:val="0"/>
        <w:jc w:val="left"/>
        <w:rPr/>
      </w:pPr>
      <w:r>
        <w:rPr/>
        <w:t> </w:t>
      </w:r>
    </w:p>
    <w:tbl>
      <w:tblPr>
        <w:tblW w:w="6824" w:type="dxa"/>
        <w:jc w:val="left"/>
        <w:tblInd w:w="0" w:type="dxa"/>
        <w:tblLayout w:type="fixed"/>
        <w:tblCellMar>
          <w:top w:w="28" w:type="dxa"/>
          <w:left w:w="28" w:type="dxa"/>
          <w:bottom w:w="28" w:type="dxa"/>
          <w:right w:w="28" w:type="dxa"/>
        </w:tblCellMar>
      </w:tblPr>
      <w:tblGrid>
        <w:gridCol w:w="3841"/>
        <w:gridCol w:w="146"/>
        <w:gridCol w:w="146"/>
        <w:gridCol w:w="931"/>
        <w:gridCol w:w="146"/>
        <w:gridCol w:w="146"/>
        <w:gridCol w:w="146"/>
        <w:gridCol w:w="931"/>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common stock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9,289,099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8,250,833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restricted common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8,250,833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condensed consolidated balance sheets. The Company does not accrue for contingent losses that, in its judgment, are considered to be reasonably possible, but not probable; however, it discloses the range of reasonably possible losses. As of June 30, 2026 and December 31, 2025, the Company was not a party to any material legal proceedings or claims and no liabilities were recorded for loss contingencies. </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June 30, 2026 and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13.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Lonza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in connection with an asset purchase agreement entered into with Astellas Pharma, Inc. (“Astellas”), the Company and Lonza Sales AG (“Lonza”) entered into a license agreement (as amended, the “Lonza License Agreement”). Pursuant to the Lonza License Agreement, the Company obtained a worldwide, non-exclusive, sublicensable (subject to Lonza’s right of pre-approval with respect to any sublicense of manufacturing activities) license to certain intellectual property rights owned by Lonza. Lonza was the originator of the master cell bank for verekitug (formerly referred to as ASP7266 and UPB-101, collectively referred to as “the Compound”) developed by Astellas.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consideration for the rights and licenses granted to the Company under the Lonza License Agreement, the Company agreed to pay Lonza certain royalties and annual payments, both payable in Swiss francs,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 In accordance with the Lonza License Agreement, the Company entered into a sublicense with WuXi Biologics (Hong Kong) Limited to manufacture the Compound, requiring the Company to pay a mid-six-figure annual fee to Lonza pursuant to this provision.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royalties due under the Lonza License Agreement are payable on a country-by-country basis until ten years from the first commercial sale of the Compound in that particular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each of the six months ended June 30, 2026 and 2025, the Company did not make any royalty payments to Lonza under the Lonza License Agreement. The Lonza agreement continues for an indefinite period of time unless otherwise terminated. The Company has the right to terminate the Lonza License Agreement at any time by providing prior written notice to Lonza.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each of the six months ended June 30, 2026 and 2025, the Company made an annual payment to Lonza in the amount of $0.5 million pursuant to the Lonza License Agreement. These payments are recognized as research and development expense in the condensed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color w:val="000000"/>
          <w:sz w:val="20"/>
        </w:rPr>
        <w:t>14.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Maruho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in connection with an asset purchase agreement entered into with Astellas, the Company entered into an agreement (as amended, the “Maruho Agreement”), under which it granted Maruho Co., Ltd (“Maruho”) an exclusive, irrevocable, perpetual, royalty-free, sublicensable (subject to its right of first negotiation) license. Pursuant to the Maruho Agreement, the Company maintains its responsibility for and controls the global research and development of the Maruho license product, including in Japan. The Company will conduct specified clinical trial activities for Japan as part of its global research and development plan. Maruho will reimburse the Company for the costs of these research and development activities, including the cost of drug supply. Maruho has the right to terminate the Maruho Agreement at any time by providing 60 days prior written notice to the Company with no substantial penalty.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concluded that Maruho is a customer under the Maruho Agreement, and as such, the Maruho Agreement falls within the scope of ASC 606. The Company identified one performance obligation under the Maruho Agreement related to the performance of research and development services, which are an output of the Company’s ordinary activities, in Japan. The Company determined that the transaction price of the Maruho Agreement as of June 30, 2026 consisted solely of variable consideration. The variable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was estimated using the expected value method based on the Company’s experience and best judgment of the total reimbursable costs expected to be incurred through the period of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is being recognized as revenue over time using the cost-to-cost input method, which the Company believes best depicts the transfer of control to the customer. Under the cost-to-cost input method, the extent of progress towards completion is measured based on the ratio of actual costs incurred in Japan to the total estimated costs expected to satisfy the performance obligation. The calculation of the total estimated costs to fulfill the performance obligation includes costs associated with employees, clinical and development, manufacturing, and out-of-pocket costs expected to be paid to third parties. The estimate of the Company’s measure of progress and estimate of variable consideration to be included in the transaction price will be updated at each reporting period as a change in estimate. The Company excludes disclosures related to the aggregate amount of the transaction price allocated to the performance obligation that are unsatisfied as of the end of the reporting period because the contract has an initial expected term of one year or less. The Company currently expects to continue providing research and development services to Maruho under the Maruho Agreement through the completion of its Phase 2 clinical trials, and if successful, through any Phase 3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and 2025, the Company received payments of $1.7 million and $1.2 million, respectively, in cost reimbursements from Maruho. The Company recorded collaboration revenue of $0.8 million and $0.9 million during the three months ended June 30, 2026 and 2025, respectively and $1.8 million and $1.5 million during the six months ended June 30, 2026 and 2025, respectively. As of June 30, 2026 and December 31, 2025, there was $0.8 million and $0.7 million, respectively, in accounts receivable representing amounts due for qualifying reimbursable expenses related to the Maruho Agreement.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has a single reportable operating segment and revenue generated exclusively from the Maruho License Agreement. The Company’s chief executive officer, who is the Chief Operating Decision Maker (the “CODM”), manages the Company on a consolidated basis and utilizes consolidated net loss as a basis for resource allocation and decision making. The CODM considers budget-to-actual variances for each of the disaggregated components of operating expenses when making decisions about allocating resources and evaluating performance. The measure of segment assets is reported on the consolidated balance sheet as total consolidated assets. In addition, the CODM is regularly provided information on total cash, which is inclusive of cash, cash equivalents and short-term investments, as a measure of segment assets. As of June 30, 2026, the Company’s cash, cash equivalents and short-term investments were $261.3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Upstream Bio,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60" w:after="80"/>
        <w:jc w:val="left"/>
        <w:rPr>
          <w:rFonts w:ascii="Times New Roman" w:hAnsi="Times New Roman"/>
          <w:color w:val="000000"/>
          <w:sz w:val="20"/>
        </w:rPr>
      </w:pPr>
      <w:r>
        <w:rPr>
          <w:rFonts w:ascii="Times New Roman" w:hAnsi="Times New Roman"/>
          <w:color w:val="000000"/>
          <w:sz w:val="20"/>
        </w:rPr>
        <w:t>The Company's consolidated and segment net loss, including disaggregated components of operating expenses is as follows (in thousands):</w:t>
      </w:r>
    </w:p>
    <w:tbl>
      <w:tblPr>
        <w:tblW w:w="10109" w:type="dxa"/>
        <w:jc w:val="left"/>
        <w:tblInd w:w="0" w:type="dxa"/>
        <w:tblLayout w:type="fixed"/>
        <w:tblCellMar>
          <w:top w:w="28" w:type="dxa"/>
          <w:left w:w="28" w:type="dxa"/>
          <w:bottom w:w="28" w:type="dxa"/>
          <w:right w:w="28" w:type="dxa"/>
        </w:tblCellMar>
      </w:tblPr>
      <w:tblGrid>
        <w:gridCol w:w="3841"/>
        <w:gridCol w:w="146"/>
        <w:gridCol w:w="146"/>
        <w:gridCol w:w="146"/>
        <w:gridCol w:w="146"/>
        <w:gridCol w:w="146"/>
        <w:gridCol w:w="146"/>
        <w:gridCol w:w="146"/>
        <w:gridCol w:w="216"/>
        <w:gridCol w:w="756"/>
        <w:gridCol w:w="170"/>
        <w:gridCol w:w="149"/>
        <w:gridCol w:w="216"/>
        <w:gridCol w:w="756"/>
        <w:gridCol w:w="166"/>
        <w:gridCol w:w="211"/>
        <w:gridCol w:w="736"/>
        <w:gridCol w:w="166"/>
        <w:gridCol w:w="146"/>
        <w:gridCol w:w="211"/>
        <w:gridCol w:w="736"/>
        <w:gridCol w:w="6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Verekitug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Asthma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COPD indication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CRSwNP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0" w:name="mda"/>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with our audited consolidated financial statements and related notes for the year ended December 31, 2025 included in our Annual Report on Form 10-K for the fiscal year ended December 31, 2025 (our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our Annual Report, our actual results could differ materially from the results described in, or implied by, the forward-looking statements contained in the following discussion and analysis. Please also see the section titled “Special Note Regarding Forward-Looking Statements” included elsewhere in this Quarterly Report.</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clinical-stage biotechnology company developing treatments for severe inflammatory respiratory diseases.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including a long-term safety and efficacy extension study (“Phase 2 LTE”), chronic rhinosinusitis with nasal polyps (“CRSwNP”), and chronic obstructive pulmonary disease (“COPD”). We reported positive top-line results in our CRSwNP Phase 2 trial in September 2025 and positive top-line results in our severe asthma Phase 2 trial in February 2026, and we expect to report data from our Phase 2 LTE in the second half of 2027. We have completed enrollment in our Phase 2 COPD trial and expect to report data from this trial in the second half of 2027. We plan to initiate dosing in Phase 3 trials in both severe asthma and CRSwNP in the first quarter of 2027, prioritizing a Phase 3 development strategy that focuses on maximizing efficacy in both indications, without biomarker restriction, with quarterly at-home administration. Our experienced team is committed to maximizing verekitug’s unique attributes to address the substantial unmet needs for patients underserved by today’s standard of care.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planning, raising capital, establishing licensing, building our proprietary platform technologies, developing verekitug, establishing our intellectual property portfolio, conducting research, preclinical studies, and clinical trials, establishing arrangements with third parties for the manufacture of verekitug and related raw materials, and providing general and administrative support for these operations. To date, we have financed our operations primarily through equity financings and the proceeds from our initial public offering (“IPO”). As of June 30, 2026, we have received an aggregate of $670.9 million from such transactions, including gross proceeds of $400.0 million from the issuance and sale of our redeemable convertible preferred stock, $268.8 million in net proceeds from the closing of our IPO and $2.1 million in net proceeds from sales of common stock under our ATM Program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net operating losses and negative cash flows since our inception. Our ability to generate product revenue sufficient to achieve profitability, if ever, will depend on the successful development, regulatory approval and eventual commercialization of verekitug and any other potential future product candidates, which we expect will take a number of years. For the three months ended June 30, 2026 and 2025, we reported net losses of $39.7 million and $40.0 million, respectively, and for the six months ended June 30, 2026 and 2025, we reported net losses of $80.3 million and $67.2 million, respectively. Our net losses have resulted principally from costs incurred in our research and development activities. As of June 30, 2026, we had an accumulated deficit of $414.5 million, and we had cash, cash equivalents and short-term investments of $261.3 million. Based on our current operating plan, we believe that our existing cash, cash equivalents and short-term investments will be sufficient to fund our operating expenses and capital expenditure requirements through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significant net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conduct our ongoing clinical trials of verekitug, including our global Phase 2 and planned Phase 3 clinical trials, as well as initiate and complete additional clinical trials of verekitug in new indications or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larger-scale clinical trials for verekitug or any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 or have manufactured, clinical and commercial supplies of verekitug;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prepare for and, if approved, proceed to commercialization for verekitug in current or new indications or any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additional clinical, scientific,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operational, financial, and management information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quality control, quality assurance, legal, compliance, and other groups to support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protect, expand and enforce our intellectual property portfolio, including intellectual property obtained through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claims by third parties that we have infringed, misappropriated or otherwise violated any intellectual property of any such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royalty, milestone or other payments under current, and any future, 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either ourselves or in partnership with others, to commercialize verekitug,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experience any delays, challenges, or other issues associated with the clinical development of verekitug and any potential future product candidates, including with respect to our regulatory strategies;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investor relations and other general and administrative expenses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net operating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we will need additional financing to support our continuing operations. To date, we have funded our operations primarily through equity financings. 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arrangements with third parties. Until we can generate sufficient product revenue to finance our cash requirements, if ever, we expect to fund our operations through equity offerings or debt financings, credit or loan facilities, potentially other capital resources, or a combination of one or more of these funding sources.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verekitug and one or more potential future product candidates, which could have a material adverse effect on our business, results of operations or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and development of product candidates,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Asset purchase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for certain of our asset purchase and license agreements. For a more detailed description of these agreements, see the section titled “Business—Asset purchase and license agreements” included in our Annual Report.</w:t>
      </w:r>
    </w:p>
    <w:p>
      <w:pPr>
        <w:pStyle w:val="TextBody"/>
        <w:bidi w:val="0"/>
        <w:spacing w:before="360" w:after="283"/>
        <w:jc w:val="left"/>
        <w:rPr>
          <w:rFonts w:ascii="Times New Roman" w:hAnsi="Times New Roman"/>
          <w:sz w:val="20"/>
        </w:rPr>
      </w:pPr>
      <w:r>
        <w:rPr>
          <w:rFonts w:ascii="Times New Roman" w:hAnsi="Times New Roman"/>
          <w:i/>
          <w:color w:val="000000"/>
          <w:sz w:val="20"/>
        </w:rPr>
        <w:t>Asset purchase agreement with Astellas and related letter agreement with Astellas and Regeneron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we entered into an asset purchase agreement (the “Astellas Asset Purchase Agreement”) with Astellas Pharma, Inc. (“Astellas”). Pursuant to the Astellas Asset Purchase Agreement, we purchased from Astellas the compound designated by Astellas as ASP7266 (the “Compound,” which was subsequently renamed by us as verekitug). There are no future payments owed to Astellas under the Astellas Asset Purchase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Astellas Asset Purchase Agreement, we concurrently entered into a letter agreement (the “Regeneron Letter Agreement”) with Astellas and Regeneron Pharmaceuticals, Inc. (“Regeneron”).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 To date, we have not made any royalty payments to Regeneron under the Regeneron Letter Agreement. </w:t>
      </w:r>
    </w:p>
    <w:p>
      <w:pPr>
        <w:pStyle w:val="TextBody"/>
        <w:bidi w:val="0"/>
        <w:spacing w:before="360" w:after="283"/>
        <w:jc w:val="left"/>
        <w:rPr>
          <w:rFonts w:ascii="Times New Roman" w:hAnsi="Times New Roman"/>
          <w:sz w:val="20"/>
        </w:rPr>
      </w:pPr>
      <w:r>
        <w:rPr>
          <w:rFonts w:ascii="Times New Roman" w:hAnsi="Times New Roman"/>
          <w:i/>
          <w:color w:val="000000"/>
          <w:sz w:val="20"/>
        </w:rPr>
        <w:t>Exclusive license agreement with Maruho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we entered into a license agreement with Maruho (as amended, the “Maruho License Agreement”), under which we granted Maruho an exclusive, irrevocable, perpetual, royalty-free, sublicensable (subject to our right of first negotiation) license. Under the Maruho License Agreement, Maruho is responsible for and controls, at its sole expense, (i) the preparation, filing, prosecution, obtaining and maintaining all regulatory approvals in Japan and (ii) the promotion, marketing, sale and commercialization in Japan.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Maruho License Agreement, we maintain our responsibility for and control the global research and development of the Maruho license product, including in Japan. We will conduct specified clinical trial activities for Japan as part of our global research and development plan. Maruho will reimburse us for the costs of these research and development activities, including the cost of drug supply. Apart from reimbursement of qualifying research and development expenses, Maruho is not obligated to make any future payments under the Maruho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and 2025, we received payments from Maruho in the amount of $1.7 million and $1.2 million,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License agreement with Lonza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in connection with the Astellas Asset Purchase Agreement, we entered into a license agreement with Lonza Sales AG (“Lonza”) (as amended, the “Lonza License Agreement”). Pursuant to the Lonza License Agreement, we obtained a worldwide, non-exclusive, sublicensable (subject to Lonza’s right of pre-approval with respect to any sublicense of manufacturing activities) license to certain intellectual property rights owned by Lonza. Lonza was the originator of the master cell bank for the Compound developed by Astellas. 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 Any royalties due under the Lonza License Agreement are payable on a country-by-country basis until ten years from the first commercial sale of the Compound in that particular country. The Lonza agreement continues for an indefinite period of time unless otherwise terminated. We have the right to terminate the Lonza License Agreement at any time by providing prior written notice to Lonza. During each of the six months ended June 30, 2026 and 2025, we made an annual payment to Lonza in the amount of $0.5 million pursuant to the Lonza License Agreement. These payments are recognized as research and development expense in the consolidated statements of operations and comprehensive loss. To date, we have not made any royalty payments to Lonza under the Lonza License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revenue from product sales and do not expect to generate any revenue from product sales in the foreseeable future. All of our collaboration revenue has been derived from the Maruho License Agreement. If our development efforts for verekitug or any potential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our preclinical research and clinical development of verekitug,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 parties, including contract research organizations (“CROs”), contract manufacturing organizations (“CMOs”), and investigative sites that conduct clinical trials on our behalf, and costs related to the Maruho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related costs, including stock-based compensation expense, for personnel engaged in research and development functions and costs related to the Maruho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including their fees and related travel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license agreements to support the development of our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all research and development expenses in the periods in which they are incurred. Our direct research and development expenses are tracked on an indication-by-indication basis and consist of costs that include CROs and investigative sites that conduct clinical trials on our behalf, third party vendors that conduct research and preclinical studies on our behalf and outside consulting costs directly allocable to an indication. We do not allocate costs related to CMOs that manufacture verekitug for use in our preclinical studies and clinical trials as they are not distinguishable by indication but support all current and potential indications under our verekitug program. Additionally, we do not allocate costs for employee costs, including stock-based compensation, consulting, or other indirect costs that cannot be directly allocated to a specific indication.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research and development expenses will increase in the future as we advance verekitug through clinical trials and any potential future product candidates that we may develop through preclinical studies and clinical trials, in pursuit of regulatory approval. Product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verekitug and any potential future product candidates. We are also unable to predict when, if ever, material net cash inflows will commence from sales or licensing of verekitug or any potential future product candidates. This is due to the numerous risks and uncertainties associated with drug development, including the uncertainty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the ongoing development of verekitug as well as for potential discovery, preclinical development and clinical trials for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trials required for regulatory approval of verekitug or our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verekitug or our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acquiring or licensing additional product candidates, technologies or assets, including the timing and amount of any milestones, royalties or other payments due in connection with our acquisitions and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clinical supplies of verekitug or our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clinical, quality control, medical, scientific and other technical personnel to support the ongoing development of verekitug;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increasing our headcount as we expand our research and development organization and market development and pre-commercial planning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approach to identifying target patient populations;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macroeconomic trends including inflation and rising interest rates;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potential supply chain interruptions or delays.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factors or underlying variables with respect to the development of a product candidate could significantly change the costs and timing associated with the development of that product candidate.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benefits, including stock-based compensation expense, for personnel in executive, finance, accounting, legal, human resources, business development, information technology, and other administrative functions. General and administrative expenses also include legal fees relating to patents and corporate matters; professional fees for accounting, auditing, tax, and consulting services; insurance costs; travel expenses; and facility-related expenses, which include depreciation costs and expenses for rent and maintenance of facilities and other operating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general and administrative expenses will increase in the future as we increase our headcount and expand our infrastructure to support the continued research and development of our programs and the growth of our business. We also expect to incur increased expenses associated with operating as a public company, including costs of accounting, audit, legal, regulatory, tax-related services, compliance with SEC rules and regulations and listing requirements, director and officer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money market funds, U.S. treasury securities, corporate debt securities and government agency bonds investments.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consists of miscellaneous income and expense unrelated to our core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recorded a full valuation allowance of our deferred tax asset position as of June 30, 2026 and December 31, 2025 as we believe it was more likely than not that we would not be able to utilize our deferred tax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federal and state net operating losses (“NOLs”) carryforwards of $66.9 million and $92.9 million, respectively. The federal NOLs are not subject to expiration and are limited in utilization to 80% of taxable income and the state NOLs begin to expire in 2041. As of December 31, 2025, we had federal and state research and development credits of $5.7 million and $1.2 million, respectively, which will, if not utilized, begin to expire in 2043 and 2037, respectively.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tbl>
      <w:tblPr>
        <w:tblW w:w="6760" w:type="dxa"/>
        <w:jc w:val="left"/>
        <w:tblInd w:w="0" w:type="dxa"/>
        <w:tblLayout w:type="fixed"/>
        <w:tblCellMar>
          <w:top w:w="28" w:type="dxa"/>
          <w:left w:w="28" w:type="dxa"/>
          <w:bottom w:w="28" w:type="dxa"/>
          <w:right w:w="28" w:type="dxa"/>
        </w:tblCellMar>
      </w:tblPr>
      <w:tblGrid>
        <w:gridCol w:w="2586"/>
        <w:gridCol w:w="146"/>
        <w:gridCol w:w="216"/>
        <w:gridCol w:w="756"/>
        <w:gridCol w:w="170"/>
        <w:gridCol w:w="149"/>
        <w:gridCol w:w="216"/>
        <w:gridCol w:w="756"/>
        <w:gridCol w:w="166"/>
        <w:gridCol w:w="146"/>
        <w:gridCol w:w="211"/>
        <w:gridCol w:w="631"/>
        <w:gridCol w:w="6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for the three months ended June 30, 2026 and 2025 was $0.8 million and $0.9 million, respectively. Revenue during each of the three months ended June 30, 2026 and 2025 was related to the work performed associated with our Phase 2 clinical trial and Phase 2 LTE study in patients with severe asthma under the Maruho License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tbl>
      <w:tblPr>
        <w:tblW w:w="9201" w:type="dxa"/>
        <w:jc w:val="left"/>
        <w:tblInd w:w="0" w:type="dxa"/>
        <w:tblLayout w:type="fixed"/>
        <w:tblCellMar>
          <w:top w:w="28" w:type="dxa"/>
          <w:left w:w="28" w:type="dxa"/>
          <w:bottom w:w="28" w:type="dxa"/>
          <w:right w:w="28" w:type="dxa"/>
        </w:tblCellMar>
      </w:tblPr>
      <w:tblGrid>
        <w:gridCol w:w="5046"/>
        <w:gridCol w:w="146"/>
        <w:gridCol w:w="231"/>
        <w:gridCol w:w="741"/>
        <w:gridCol w:w="160"/>
        <w:gridCol w:w="160"/>
        <w:gridCol w:w="231"/>
        <w:gridCol w:w="741"/>
        <w:gridCol w:w="146"/>
        <w:gridCol w:w="146"/>
        <w:gridCol w:w="211"/>
        <w:gridCol w:w="631"/>
        <w:gridCol w:w="6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Verekitug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Asthma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COPD indication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CRSwNP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36,089</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$36.1 million for the three months ended June 30, 2026 compared to $37.9 million for the three months ended June 30, 2025. The decrease of $1.8 million was primarily driven by a decrease of $2.8 million in unallocated research and development expenses, partially offset by an increase of $1.0 million in expenses directly related to our verekitug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direct costs of $1.5 million related to the COPD indication was primarily due to the continued progress associated with our Phase 2 clinical trial during the three months ended June 30, 2026, compared to the same period in 2025. The decrease in direct costs of $0.3 million related to the asthma indication was primarily due to wind down activities associated with our severe asthma Phase 2 clinical trial, compared to the same period in 2025, partially offset by an increase in direct costs due to the continued progress associated with our Phase 2 LTE study in patients with severe asthma and the initiation of planning activities for our Phase 3 clinical trial during the three months ended June 30, 2026. The decrease in direct costs of $0.2 million related to the CRSwNP indication was primarily due to wind down activities associated with our Phase 2 clinical trial during the three months ended June 30, 2026 compared to the same period in 2025, partially offset by an increase in direct costs related to the initiation of planning activities for our Phase 3 clinical trial during the three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in manufacturing costs of $5.9 million was primarily attributable to a decrease in CMO costs in support of the development of Phase 3 clinical material during the three months ended June 30, 2026, compared to the same period in 2025. The increase in personnel expenses of $2.4 million was primarily due to increased headcount in our research and development function. Personnel expenses for each of the three months ended June 30, 2026 and 2025 included stock-based compensation expense of $2.0 million and $0.7 million, respectively. The increase of $0.8 million in professional fees was primarily related to preclinical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consulting services to support our verekitug program during the three months ended June 30, 2026, compared to the same period in 2025.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4846"/>
        <w:gridCol w:w="146"/>
        <w:gridCol w:w="257"/>
        <w:gridCol w:w="697"/>
        <w:gridCol w:w="178"/>
        <w:gridCol w:w="178"/>
        <w:gridCol w:w="257"/>
        <w:gridCol w:w="697"/>
        <w:gridCol w:w="146"/>
        <w:gridCol w:w="146"/>
        <w:gridCol w:w="211"/>
        <w:gridCol w:w="481"/>
        <w:gridCol w:w="6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were $7.1 million for the three months ended June 30, 2026 compared to $7.4 million for the three months ended June 30, 2025. The decrease of $0.3 million was primarily driven by a decrease of $0.9 million in professional fees primarily related to market research costs and legal fees during the three months ended June 30, 2026, compared to the same period in 2025, partially offset by an increase in personnel expenses of $0.6 million due to increased headcount in our general and administrative functions. Personnel expenses for the three months ended June 30, 2026 and 2025 included stock-based compensation expense of $2.4 million and $1.9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$2.7 million and $4.4 million for the three months ended June 30, 2026 and 2025, respectively, representing a decrease of $1.8 million. The decrease in interest income was due to decreased balances in our U.S. treasury securities, corporate debt securities and government agency bonds held during the three months ended June 30, 2026, as compared to the three months ended June 30,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w:t>
      </w:r>
    </w:p>
    <w:p>
      <w:pPr>
        <w:pStyle w:val="TextBody"/>
        <w:bidi w:val="0"/>
        <w:jc w:val="left"/>
        <w:rPr/>
      </w:pPr>
      <w:r>
        <w:rPr/>
        <w:t> </w:t>
      </w:r>
    </w:p>
    <w:tbl>
      <w:tblPr>
        <w:tblW w:w="676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for the six months ended June 30, 2026 and 2025 was $1.8 million and $1.5 million, respectively. Revenue during each of the six months ended June 30, 2026 and 2025 was related to the work performed associated with our Phase 2 clinical trial and Phase 2 LTE study in patients with severe asthma under the Maruho License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tbl>
      <w:tblPr>
        <w:tblW w:w="9005" w:type="dxa"/>
        <w:jc w:val="left"/>
        <w:tblInd w:w="0" w:type="dxa"/>
        <w:tblLayout w:type="fixed"/>
        <w:tblCellMar>
          <w:top w:w="28" w:type="dxa"/>
          <w:left w:w="28" w:type="dxa"/>
          <w:bottom w:w="28" w:type="dxa"/>
          <w:right w:w="28" w:type="dxa"/>
        </w:tblCellMar>
      </w:tblPr>
      <w:tblGrid>
        <w:gridCol w:w="5046"/>
        <w:gridCol w:w="146"/>
        <w:gridCol w:w="211"/>
        <w:gridCol w:w="677"/>
        <w:gridCol w:w="146"/>
        <w:gridCol w:w="146"/>
        <w:gridCol w:w="211"/>
        <w:gridCol w:w="677"/>
        <w:gridCol w:w="146"/>
        <w:gridCol w:w="146"/>
        <w:gridCol w:w="211"/>
        <w:gridCol w:w="631"/>
        <w:gridCol w:w="6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Verekitug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Asthma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COPD indication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CRSwNP indication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$72.7 million for the six months ended June 30, 2026 compared to $63.7 million for the six months ended June 30, 2025. The increase of $9.0 million was primarily driven by an increase of $5.3 million in expenses directly related to our verekitug program and $3.7 million of unallocated research and development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direct costs of $6.8 million related to the COPD indication was primarily due to the continued progress associated with our Phase 2 clinical trial during the six months ended June 30, 2026, compared to the same period in 2025. The increase in direct costs of $0.4 million related to the asthma indication was primarily due to the continued progress associated with our Phase 2 LTE study in patients with severe asthma and the initiation of planning activities for our Phase 3 clinical trial during the six months ended June 30, 2026, partially offset by a decrease in direct costs due to wind down activities associated with our severe asthma Phase 2 clinical trial, compared to the same period in 2025. The decrease in direct costs of $1.9 million related to the CRSwNP indication was primarily due to wind down activities associated with our Phase 2 clinical trial during the six months ended June 30, 2026 compared to the same period in 2025, partially offset by an increase in direct costs related to the initiation of planning activities for our Phase 3 clinical trial during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personnel expenses of $5.9 million was primarily due to increased headcount in our research and development function. Personnel expenses for each of the six months ended June 30, 2026 and 2025 included stock-based compensation expense of $3.9 million and $1.2 million, respectively. The decrease in manufacturing costs of $3.1 million was primarily attributable to a decrease in CMO costs in support of the development of Phase 3 clinical material during the six months ended June 30, 2026, compared to the same period in 2025. The increase of $1.4 million in professional fees was primarily related to preclinical and clinical consulting services to support our verekitug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begin to separately track program expenses at development candidate nomination. Through June 30, 2026, we have incurred approximately $122.3 million, $57.0 million and $24.6 million in direct external expenses for the development of verekitug for severe asthma, COPD and CRSwNP, respectively, since their development candidate nominations.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jc w:val="left"/>
        <w:rPr/>
      </w:pPr>
      <w:r>
        <w:rPr/>
        <w:t> </w:t>
      </w:r>
    </w:p>
    <w:tbl>
      <w:tblPr>
        <w:tblW w:w="8745" w:type="dxa"/>
        <w:jc w:val="left"/>
        <w:tblInd w:w="0" w:type="dxa"/>
        <w:tblLayout w:type="fixed"/>
        <w:tblCellMar>
          <w:top w:w="28" w:type="dxa"/>
          <w:left w:w="28" w:type="dxa"/>
          <w:bottom w:w="28" w:type="dxa"/>
          <w:right w:w="28" w:type="dxa"/>
        </w:tblCellMar>
      </w:tblPr>
      <w:tblGrid>
        <w:gridCol w:w="4846"/>
        <w:gridCol w:w="146"/>
        <w:gridCol w:w="211"/>
        <w:gridCol w:w="677"/>
        <w:gridCol w:w="146"/>
        <w:gridCol w:w="146"/>
        <w:gridCol w:w="211"/>
        <w:gridCol w:w="677"/>
        <w:gridCol w:w="146"/>
        <w:gridCol w:w="146"/>
        <w:gridCol w:w="211"/>
        <w:gridCol w:w="571"/>
        <w:gridCol w:w="6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were $15.1 million for the six months ended June 30, 2026 compared to $14.2 million for the six months ended June 30, 2025. The increase of $0.9 million was primarily driven by an increase in personnel expenses of $1.3 million due to increased headcount in our general and administrative functions, including stock-based compensation expense of $5.1 million and $4.1 million for the six months ended June 30, 2026 and 2025, respectively, partially offset by a decrease of $0.3 million in professional fees was primarily driven by a decrease in market research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$5.7 million and $9.2 million for the six months ended June 30, 2026 and 2025, respectively, representing a decrease of $3.5 million. The decrease in interest income was due to decreased balances in our U.S. treasury securities, corporate debt securities and government agency bonds held during the six months ended June 30, 2026, as compared to the six months ended June 30,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We have not yet commercialized verekitug and we do not expect to generate revenue from product sales of verekitug for the next several years, if at all. To date, we have funded our operations primarily through equity financings, proceeds from our IPO and sales of our common stock pursuant to the ATM Program. Through June 30, 2026, we have received an aggregate of $670.9 million from such transactions, including gross proceeds of $400.0 million from the issuance and sale of our redeemable convertible preferred stock, $268.8 million in net proceeds from the closing of our IPO and $2.1 million from sales of common stock under the ATM Program. As of June 30, 2026, we had cash, cash equivalents and short-term investments of $261.3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5, 2025, we filed an automatic shelf registration statement on Form S-3ASR (the “2025 Shelf”), including the base prospectus included therein (File No. 333-291267), with the SEC, pursuant to which we may issue shares of our common stock, preferred stock, debt securities, warrants and/or units, which became automatically effective upon filing pursuant to Rule 462(e) of the Securities Act. On March 26, 2026, we entered into a Sales Agreement (the “Sales Agreement”) with Leerink Partners LLC, acting as our sales agent and/or principal (the “Sales Agent”), with respect to an “at-the-market offering” program under which we may, from time to time, at our sole discretion, offer and sell shares of our common stock having an aggregate offering price of up to $150.0 million through the Sales Agent (the “ATM Program”). In connection with the ATM Program, we filed a prospectus supplement with the SEC on March 26, 2026 (the “ATM Prospectus”) for the offer and sale of up to $150.0 million of shares of our common stock from time to time through the Sales Agent (the “ATM Shares”). The Sales Agent will be entitled to a commission of up to 3.0% of the gross proceeds from each sale of the ATM Shares effectuated through or to the Sales Agent selling the ATM Shares. We are not obligated to make any sales of the ATM Shares under the Sales Agreement. As of June 30, 2026, we have sold 239,797 shares of common stock under the ATM Program for aggregate net proceeds of approximately $2.1 million, after deducting approximately $0.1 million of commissions paid to the Sales Agent.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p>
      <w:pPr>
        <w:pStyle w:val="TextBody"/>
        <w:bidi w:val="0"/>
        <w:jc w:val="left"/>
        <w:rPr/>
      </w:pPr>
      <w:r>
        <w:rPr/>
        <w:t> </w:t>
      </w:r>
    </w:p>
    <w:tbl>
      <w:tblPr>
        <w:tblW w:w="7409"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841"/>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operating activities used $83.5 million of cash, resulting primarily from our net loss of $80.3 million, changes in operating assets and liabilities of $11.8 million and non-cash amortization of premiums and accretion of discounts on short-term investments of $0.8 million, partially offset by non-cash stock-based compensation expense of $9.0 million. Net cash used in changes in operating assets and liabilities was primarily driven by a $7.9 million increase in prepaid expenses and other current assets largely due to upfront payments to CROs for activities associated with our COPD Phase 2 trial and a $3.1 million decrease in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operating activities used $80.4 million of cash, resulting primarily from our net loss of $67.2 million, changes in operating assets and liabilities of $16.0 million and non-cash amortization of premiums and accretion of discounts on short-term investments of $2.7 million, partially offset by non-cash stock-based compensation expense of $5.2 million. Net cash used in changes in operating assets and liabilities was primarily driven by a $15.7 million increase in prepaid expenses and other current assets due to upfront payments to CROs for planning activities associated with our COPD Phase 2 trial and our Phase 2 LTE study in patients with severe asthma, a $1.5 million increase in accounts payable, a $0.3 million increase in accounts receivable,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 $0.3 million decrease in operating lease liabilities, partially offset by a $1.7 million increase in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all periods presented, changes in prepaid expenses and other assets, accounts payable and accrued expenses and other current liabilities not described above were generally due to the growth in our business, the advancement of our clinical programs, and the timing of vendor invoicing and payments.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investing activities was $58.2 million, consisting primarily of maturities of short-term investments of $123.5 million, net of purchases of short-term investments of $65.4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net cash used in investing activities was $200.6 million, consisting primarily of purchases of short-term investments of $323.1 million, net of maturities of short-term investments of $122.6 million.</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financing activities was $3.1 million, consisting primarily of $2.1 million in net proceeds from our ATM Program and $1.0 million in net proceeds primarily from the exercise of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financing activities was $0.6 million, consisting primarily of $0.6 million in net proceeds from the exercise of stock options. </w:t>
      </w:r>
    </w:p>
    <w:p>
      <w:pPr>
        <w:pStyle w:val="TextBody"/>
        <w:bidi w:val="0"/>
        <w:spacing w:before="360" w:after="283"/>
        <w:jc w:val="left"/>
        <w:rPr>
          <w:rFonts w:ascii="Times New Roman" w:hAnsi="Times New Roman"/>
          <w:sz w:val="20"/>
        </w:rPr>
      </w:pPr>
      <w:r>
        <w:rPr>
          <w:rFonts w:ascii="Times New Roman" w:hAnsi="Times New Roman"/>
          <w:b/>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research and development and general and administrative expenses and our operating losses will increase in the future as we advance verekitug through clinical trials and any potential future product candidates that we may develop through preclinical studies and clinical trials, in pursuit of regulatory approval. Due to the numerous risks and uncertainties associated with research, development and commercialization of product candidates, changes in the outcome of any factors with respect to the development of a product candidate could mean a significant change in the costs and timing associated with the development of that product candidate. In addition, we expect to incur increased expenses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plans may change in the future and we will continue to require additional capital to meet the needs of our operating expenses. See the section titled “Risk factors—Risks related to our limited operating history, financial condition and need for additional capital” included elsewhere in this Quarterly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cash, cash equivalents and short-term investments will be sufficient to fund our operating expenses and capital expenditure requirements through 2027. We have based this estimate on assumptions that may prove to be wrong, and we could utilize our available capital resources sooner than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would be required to delay, scale back or discontinue our research, product development or future commercialization efforts, or grant rights to develop and market product candidates that we would otherwise prefer to develop and market ourselves.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other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Asset acquisition from Astellas and related letter agreement with Astellas and Regeneron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2021, we entered into the Astellas Asset Purchase Agreement with Astellas, and concurrently entered into the Regeneron Letter Agreement with Astellas and Regeneron.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Regeneron Letter Agreement, Astellas assigned and transferred to us and we assumed and accepted certain of Astellas’ surviving rights and obligations under the Terminated Regeneron License Agreement. By assuming and accepting Astellas’ surviving obligations under the Terminated Regeneron License Agreement, we are required to pay Regeneron mid-single-digit percentage royalties on aggregate worldwide net sales of a Royalty Product during the royalty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not made any royalty payments to Regeneron under the Regeneron Letter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Lonza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royalties due under the Lonza License Agreement are payable on a country-by-country basis until ten years from the first commercial sale of the Compound in that particular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each of the six months ended June 30, 2026 and 2025, we did not make any royalty payments to Lonza under the Lonza License Agreement. The Lonza agreement continues for an indefinite period of time unless otherwise terminated. We have the right to terminate the Lonza License Agreement at any time by providing prior written notice to Lonza.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each of the six months ended June 30, 2026 and 2025, we made an annual payment to Lonza in the amount of $0.5 million pursuant to the Lonza License Agreement. These payments were recognized as research and development expense in the condensed consolidated statements of operations and comprehensive loss.</w:t>
      </w:r>
    </w:p>
    <w:p>
      <w:pPr>
        <w:pStyle w:val="TextBody"/>
        <w:bidi w:val="0"/>
        <w:spacing w:before="360" w:after="283"/>
        <w:jc w:val="left"/>
        <w:rPr>
          <w:rFonts w:ascii="Times New Roman" w:hAnsi="Times New Roman"/>
          <w:sz w:val="20"/>
        </w:rPr>
      </w:pPr>
      <w:r>
        <w:rPr>
          <w:rFonts w:ascii="Times New Roman" w:hAnsi="Times New Roman"/>
          <w:b/>
          <w:i/>
          <w:color w:val="000000"/>
          <w:sz w:val="20"/>
        </w:rPr>
        <w:t>Lease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2024, we entered into a three-year agreement for office space located at 890 Winter Street in Waltham, Massachusetts. The lease commenced in September 2024 and we began paying monthly rent starting one month thereafter. Initial base rent was approximately $0.7 million for the first year and approximately $0.8 million for the second and third year.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CROs and investigator sites that conduct clinical trials on our behalf, CMOs that manufacture product candidates for use in our preclinical studies and clinical trials, and third-party vendors, including CROs, that conduct research and preclinical studies on our behalf. Prepayments under these arrangements can generally be repurposed or the services themselves cancelable upon prior written notice, though cancellation fees are likely. Payments due upon cancellation consist only of payments for services provided and expenses incurred up to the date of cancellation.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 and significant judgments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which have been prepared in accordance with U.S. Generally Accepted Accounting Principles (“U.S. GAAP”). The preparation of these condensed consolidated financial statements and related disclosures requires us to make estimates and assumptions that affect the reported amounts of assets and liabilities, revenues and expenses, and the disclosure of contingent assets and liabilities at the date of the condensed consolidated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and revenues and expenses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six months ended June 30, 2026, there were no material changes to our critical accounting policies and significant judgments described under </w:t>
      </w:r>
      <w:r>
        <w:rPr>
          <w:rFonts w:ascii="Times New Roman" w:hAnsi="Times New Roman"/>
          <w:i/>
          <w:color w:val="000000"/>
          <w:sz w:val="20"/>
        </w:rPr>
        <w:t xml:space="preserve">Management’s Discussion and Analysis of Financial Conditions and Results of Operations—Critical accounting estimates and significant judgments </w:t>
      </w:r>
      <w:r>
        <w:rPr>
          <w:rFonts w:ascii="Times New Roman" w:hAnsi="Times New Roman"/>
          <w:color w:val="000000"/>
          <w:sz w:val="20"/>
        </w:rPr>
        <w:t>included in our Annual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consolidated financial statements included in our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effective dates for public and private companies, we will adopt the new or revised standard at the time private companies adopt the new or revised standard and will do so until the earlier of the date that we (i) are no longer an emerging growth company or (ii) irrevocably elect to “opt out” of the extended transition period provided in the JOBS Act. As a result, our consolidated financial statements may not be comparable to companies that comply with the new or revised accounting pronouncements as of public company effective dates. We may choose to early adopt any new or revised accounting standards whenever such early adoption is permitted for non-public companies. </w:t>
      </w:r>
    </w:p>
    <w:p>
      <w:pPr>
        <w:pStyle w:val="TextBody"/>
        <w:bidi w:val="0"/>
        <w:spacing w:before="240" w:after="283"/>
        <w:jc w:val="left"/>
        <w:rPr>
          <w:rFonts w:ascii="Times New Roman" w:hAnsi="Times New Roman"/>
          <w:sz w:val="20"/>
        </w:rPr>
      </w:pPr>
      <w:r>
        <w:rPr>
          <w:rFonts w:ascii="Times New Roman" w:hAnsi="Times New Roman"/>
          <w:color w:val="000000"/>
          <w:sz w:val="20"/>
        </w:rPr>
        <w:t>We are also a “smaller reporting company,” as defined in the Exchange Act. We may continue to be a smaller reporting company if either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w:t>
      </w:r>
      <w:r>
        <w:rPr>
          <w:rFonts w:ascii="Times New Roman" w:hAnsi="Times New Roman"/>
          <w:strike/>
          <w:color w:val="000000"/>
          <w:sz w:val="20"/>
        </w:rPr>
        <w:t>.</w:t>
      </w:r>
      <w:r>
        <w:rPr>
          <w:rFonts w:ascii="Times New Roman" w:hAnsi="Times New Roman"/>
          <w:color w:val="000000"/>
          <w:sz w:val="20"/>
        </w:rPr>
        <w:t xml:space="preserv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color w:val="000000"/>
          <w:sz w:val="20"/>
        </w:rPr>
      </w:pPr>
      <w:bookmarkStart w:id="11" w:name="item_3"/>
      <w:bookmarkEnd w:id="11"/>
      <w:r>
        <w:rPr>
          <w:rFonts w:ascii="Times New Roman" w:hAnsi="Times New Roman"/>
          <w:b/>
          <w:color w:val="000000"/>
          <w:sz w:val="20"/>
        </w:rPr>
        <w:t>Item 3. Quantitative and Qualitative Disclosures About Market Risk.</w:t>
      </w:r>
    </w:p>
    <w:p>
      <w:pPr>
        <w:pStyle w:val="TextBody"/>
        <w:bidi w:val="0"/>
        <w:spacing w:before="360" w:after="283"/>
        <w:jc w:val="left"/>
        <w:rPr>
          <w:rFonts w:ascii="Times New Roman" w:hAnsi="Times New Roman"/>
          <w:sz w:val="20"/>
        </w:rPr>
      </w:pPr>
      <w:r>
        <w:rPr>
          <w:rFonts w:ascii="Times New Roman" w:hAnsi="Times New Roman"/>
          <w:color w:val="212529"/>
          <w:sz w:val="20"/>
        </w:rPr>
        <w:t xml:space="preserve">We are a smaller reporting company, as defined in Rule </w:t>
      </w:r>
      <w:r>
        <w:rPr>
          <w:rFonts w:ascii="Times New Roman" w:hAnsi="Times New Roman"/>
          <w:color w:val="000000"/>
          <w:sz w:val="20"/>
        </w:rPr>
        <w:t>12b-2</w:t>
      </w:r>
      <w:r>
        <w:rPr>
          <w:rFonts w:ascii="Times New Roman" w:hAnsi="Times New Roman"/>
          <w:color w:val="212529"/>
          <w:sz w:val="20"/>
        </w:rPr>
        <w:t xml:space="preserve"> under the Exchange Act, and are not required to provide the information required under this item.</w:t>
      </w:r>
    </w:p>
    <w:p>
      <w:pPr>
        <w:pStyle w:val="TextBody"/>
        <w:bidi w:val="0"/>
        <w:spacing w:before="360" w:after="283"/>
        <w:jc w:val="left"/>
        <w:rPr>
          <w:rFonts w:ascii="Times New Roman" w:hAnsi="Times New Roman"/>
          <w:sz w:val="20"/>
        </w:rPr>
      </w:pPr>
      <w:bookmarkStart w:id="12" w:name="item_4"/>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360" w:after="283"/>
        <w:jc w:val="left"/>
        <w:rPr>
          <w:rFonts w:ascii="Times New Roman" w:hAnsi="Times New Roman"/>
          <w:sz w:val="20"/>
        </w:rPr>
      </w:pPr>
      <w:r>
        <w:rPr>
          <w:rFonts w:ascii="Times New Roman" w:hAnsi="Times New Roman"/>
          <w:b/>
          <w:i/>
          <w:color w:val="000000"/>
          <w:sz w:val="20"/>
        </w:rPr>
        <w:t>Management's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(our Chief Executive Officer) and principal financial officer (our Chief Financial and Operating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 </w:t>
      </w:r>
    </w:p>
    <w:p>
      <w:pPr>
        <w:pStyle w:val="TextBody"/>
        <w:bidi w:val="0"/>
        <w:spacing w:before="360" w:after="283"/>
        <w:jc w:val="left"/>
        <w:rPr>
          <w:rFonts w:ascii="Times New Roman" w:hAnsi="Times New Roman"/>
          <w:b/>
          <w:color w:val="000000"/>
          <w:sz w:val="20"/>
        </w:rPr>
      </w:pPr>
      <w:bookmarkStart w:id="15" w:name="item_1a_risk_factor"/>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Our business involves significant risks. Investors should carefully consider the risks and uncertainties described below, as well as the other information in this Quarterly Report on Form 10-Q (“Quarterly Report”) and in the other documents that we file with the Securities and Exchange Commission (“SEC”).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investors could lose all or part of their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This Quarterly Report also contains forward-looking statements and estimates that involve risks and uncertainties not presently known to us or that we currently deem immaterial, which also may impair our business operations. See “Special Note Regarding Forward-Looking Statements” elsewhere in this Quarterly Report for more information. Our actual results could differ materially from those anticipated in our forward-looking statements as a result of specific factors, including the risks and uncertainties described below.</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risk factors denoted with a “*” are newly added or have been materially updated from those included in our Annual Report on Form 10-K for the fiscal year ended December 31, 2025 (our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limited operating history, financial condition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We were formed in April 2021 and our operations to date have been limited to pre-commercial activities.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to date. Verekitug is currently our only product candidate. We will continue to incur significant research and development and other expenses related to our preclinical and clinical development of verekitug and ongoing operations. As a result, we are not profitable and have incurred losses in each period since our inception. Net losses and negative cash flows have had, and will continue to have, an adverse effect on our stockholders’ equity and working capital. Our net losses totaled $80.3 million and $67.2 million for the six months ended June 30, 2026 and 2025, respectively. As of June 30, 2026, we had an accumulated deficit of $414.5 million. We expect to continue to incur significant losses for the foreseeable future, and we expect these losses to increase as we continue our research and development of, and seek regulatory approvals for, verekitug in multiple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verekitug through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verekitug in indications for which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quality control, medical, scientific and other technical personnel to support the ongoing development of verekitug;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 increase in headcount as we expand our research and development organization and market development and pre-commercial planning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undertake any pre-commercial or commercial activities required to establish sales, marketing and distribution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acquire and develop additional product candidates, including through business development efforts to invest in or in-license other technologies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our license agreements and any potential future in-license or collaboration agreements;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interest or other payments due under any potential future financing or other arrangements with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biopharmaceutical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our expenses could increase beyond our expectations if we are required by the U.S. Food and Drug Administration (“FDA”), the European Medicines Agency (“EMA”), the European Commission, or other comparable foreign regulatory authorities to perform clinical trials in addition to those that we currently expect, or if there are any delays in establishing or maintaining appropriate manufacturing arrangements for our clinical trials or in the development of verekitug or any potential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additional funding in order to finance operations. If we are unable to raise capital when needed, or on acceptable terms,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verekitug in multiple indications. Even if verekitug or our potential future product candidates are approved for commercial sale, we anticipate incurring significant costs associated with commercializing any approved product candidate. To date, we have funded our operations principally through equity financings. We expect our expenses to increase in connection with our ongoing activities, particularly as we continue the clinical development of verekitug, and commence additional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short-term investments in the amount of $261.3 million. Based upon our current operating plan, we believe that our existing cash, cash equivalents and short-term investments will be sufficient to fund our operating expenses and capital expenditure requirements through 2027. We have based this estimate on assumptions that may prove to be wrong, and we could expend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verekitug. Our future capital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costs and results of the ongoing development of verekitug as well as for potential discovery, preclinical development and clinical trials for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trials required for regulatory approval of verekitug or our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verekitug or our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acquiring or licensing additional product candidates, technologies or assets, including the timing and amount of any milestones, royalties or other payments due in connection with our acquisitions and licenses;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clinical and commercial supplies of verekitug or our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approach to identifying target patient populations;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or other arrangements and the financial terms of any such agreements, including the timing and amount of any future milestone, royalty or other payments due under any such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manufacturing, marketing, sales and distribution, for verekitug or any other potential future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sales of verekitug or any other potential future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to attract, hire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 commercially viable pricing structure and obtain approval for coverage and adequate reimbursement from third-party and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macroeconomic trends including inflation and rising interest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potential supply chain interruptions or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invest in business, products and technologies.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and development of product candidates, we are unable to predict the timing or amount of our working capital requirements. In addition, if we obtain regulatory approval for verekitug or any other potential future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with our existing cash, cash equivalents and short-term investments,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 In November 2025, we filed the Registration Statement, pursuant to which we may issue shares of our common stock, preferred stock, debt securities, warrants and/or units. In March 2026, we entered into a Sales Agreement with Leerink Partners LLC, acting as our sales agent and/or principal, to establish the ATM Program. In connection with the ATM Program, we filed the ATM Prospectus on March 26, 2026 for the offer and sale of up to $150.0 million of shares of common stock from time to time through the sales agent. As of June 30, 2026, we have sold 239,797 shares of common stock under the ATM Program for aggregate net proceeds of approximately $2.1 million, after deducting approximately $0.1 million of commissions paid to the Sales Agent. As market conditions permit, we may offer and sell securities under the Registration Statement, as supplemented by the ATM Prospectus, including through the ATM Program or additional equity financings, which may cause dilution to our stockholders or impact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or verekitug or any other potential future product candidates or grant licenses on terms that may not be favorable to us. We could also be required to seek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funds through arrangements with collaborators or others at an earlier stage than otherwise would be desirable. Any of these occurrences may have a material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Verekitug is our only product candidate, and we are dependent on a third party having accurately generated, collected and reported data from certain preclinical studies that were previously conducted for verekitug.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a single product candidate, verekitug, which is in clinical development for the treatment of severe asthma, chronic rhinosinusitis with nasal polyps (“CRSwNP”), and chronic obstructive pulmonary disease (“COPD”). Our business presently depends entirely on our ability to successfully develop, obtain regulatory approval for, and commercialize verekitug for one or more of the indications that we are pursuing in a timely manner. This may make an investment in our company riskier than similar companies that have multiple product candidates in active development and may be able to better sustain the delay or failure of a lead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assumptions about verekitug’s development potential are partially based on data generated from preclinical studies conducted by Astellas Pharma, Inc. (“Astellas”), which sold the rights to verekitug to us pursuant to an asset purchase agreement in October 2021. We are dependent on Astellas having conducted its research and development in accordance with the applicable protocols, informed consent, legal and regulatory requirements, and scientific standards; having accurately reported the results of all preclinical studies conducted with respect to verekitug and having correctly collected the data from these studies. If these activities were not compliant, accurate or correct, the clinical development, regulatory approval or commercialization of verekitug will be adversely affected. Furthermore, we may observe materially and adversely different results as we continue to conduct our clinical trials. If we are unable to develop, receive marketing approval for and successfully commercialize verekitug, or if we experience delays as a result of any of the above factors or otherwise, our business would be significantly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as an organization, we have not completed the development of any product candidate, and verekitug remains in clinical development. Our future success and ability to generate revenue is dependent on our ability to successfully develop, obtain regulatory approval for and commercialize verekitug or any other potential future product candidates. Verekitug and any other potential future product candidates will require substantial additional investment for clinical development, regulatory review and approval in one or more jurisdictions. If verekitug or any other potential future product candidates encounter safety or efficacy problems, development delays or regulatory issues or other problems, our development plans and business would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have the financial resources to continue development of verekitug or any other potential future product candidates if we experience any issues that delay or prevent regulatory approval of, or our ability to commercialize, verekitug or any potential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demonstrate to the satisfaction of the FDA, EMA, the European Commission, or other comparable foreign regulatory authorities that verekitug is, or any other potential future product candidates are, safe and effective;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insufficiency of our financial and other resources to complete the necessary clinical trials and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our clinical trials, preclinical studies or the clinical trials of others for product candidates similar to ours, leading to a decision or requirement to conduct additional clinical trials or preclinical studies or abandon a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product-related adverse events experienced by subjects in our clinical trials, or by individuals using drugs or therapeutic biologics similar to verekitug or any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submitting an Investigational New Drug (“IND”) application or other regulatory submission to the FDA, EMA, or other comparable foreign regulatory authorities, or delays or failure in obtaining the necessary authorizations from regulators to commence a clinical trial or a suspension, termination, or hold, of a clinical trial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conditions imposed by the FDA, the competent authorities of individual EU Member States or other comparable foreign regulatory authorities regarding the scope or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poor performance of verekitug or any other potential future product candidates during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better than expected performance of control arms, such as placebo groups, which could lead to negative or inconclusive results from our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subjects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 drop-out rates of subjects from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inadequate supply or quality of verekitug or any other potential future product candidates or other materials necessary for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anticipated clinical trial or manufacturing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FDA, EMA, competent authorities of individual EU Member States, or other comparable foreign regulatory authority inspection and review of our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contractors or investigators to comply with regulatory requirements or the clinical trial protocol or otherwise meet their contractual obligations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and changes in regulatory requirements, policies and guidelines, including the imposition of additional regulatory oversight around clinical testing generally or with respect to our therapies in particular;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varying interpretations of data by the FDA, EMA, the European Commission, and other comparable foreign regulatory authorities.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currently conducting, and may in the future conduct, clinical trials for verekitug or any other potential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conducting, and may in the future conduct, clinical trials for verekitug or any other potential future product candidates outside the United States, and the FDA and comparable foreign regulatory authorities may not accept data from such trials. We are currently conducting clinical trials outside the United States, including but not limited to in Canada, Japan, South Korea, South Africa, the United Kingdom (“UK”) and countries in South America and the European Union, and we expect to continue to conduct trials internationally in the future. The acceptance of data from clinical trials conducted outside the United States or another jurisdiction by the FDA or any other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Additionally, the FDA’s clinical trial requirements, including sufficient size of patient populations and statistical powering, must be met.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Additionally, recent policy proposals in the United States may make acceptance by the FDA or inclusion in a marketing application of foreign data more difficult or costly. If the FDA or any comparable foreign regulatory authority does not accept such data, it would result in the need for additional trials, which could be costly and time-consuming, and which may result in verekitug or any other potential future product candidates that we may develop being delayed or not receiving approval for commercialization in the applicable jurisdiction.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successful development of pharmaceutical products involves a lengthy and expensive process and is highly uncertain.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development of pharmaceutical products is highly uncertain and is dependent on numerous factors, many of which are beyond our control. Product candidates that appear promising in the early phases of development may fail to reach the market for several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results may show product candidates to be less effective than expected (for example, a clinical trial could fail to meet its primary or key secondary endpoint(s)) or have an unacceptable safety or tolerability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a Biologics License Application (“BLA”) or similar foreign application preparation, discussions with the FDA, an FDA request for additional preclinical or clinical data (such as long-term toxicology studies) or unexpected safety or manufacturing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study results may show verekitug or any other potential future product candidates to have harmful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post-marketing approval requirements;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proprietary rights of others and their competing products and technologies that may prevent verekitug or any other potential future product candidates from being commercialized.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verekitug or any other potential future product candidates will prevent us from commercializing the product candidate in a given jurisdiction. We have not received approval to market any product candidates from regulatory authorities in any jurisdiction, and it is possible that verekitug or any of our other potential future product candidates will not ever obtain regulatory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experience as an organization in submitting and supporting the applications necessary to gain marketing approvals and expect to rely on third-party contract research organizations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comparable foreign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verekitug or any other potential future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verekitug or any other potential future product candidates post-approval could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estimates of market opportunity and forecasts may prove to be smaller than we believe.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initial focus is on the development of verekitug for the treatment of severe respiratory disorders, including severe asthma, CRSwNP and COPD. Our projections of addressable patient populations within these indications are based on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and independent market research, industry and general publications obtained from third parties. Market opportunity estimates and growth forecasts included in this Quarterly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verekitug could be significantly diminished and have an adverse material impact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Due to the significant resources required for drug development and depending on our ability to access capital, we must prioritize the development of verekitug. Moreover, we may fail to expend our limited resources on the development of verekitug for the treatment of additional indications or for the development of other potential future product candidates that may have been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 verekitug, is in clinical development for the treatment of severe asthma, CRSwNP, and COPD. Our initial focus is on developing verekitug for the treatment of severe respiratory disorders.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verekitug, we must decide which indications to pursue and advance and the amount of resources to allocate to each. Our decisions concerning the allocation of research, development, collaboration, management and financial resources toward particular indications may not lead to the development of viable commercial products and may divert resources away from better opportunities. If we make incorrect determinations regarding the viability or market potential of verekitug or misread trends in the pharmaceutical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verekitug or any potential future product candidates with other diseases and disease pathways that may later prove to have greater commercial potential than those we choose to pursue, or relinquish valuable rights to verekitug through collaboration, licensing or royalty arrangements in cases in which it would have been advantageous for us to invest additional resources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successfully commercialize verekitug, our results of operations will be affected by the level of royalty payments that we are required to pay to Regeneron.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our Asset Purchase Agreement with Astellas, we also entered into a letter agreement (the “Regeneron Letter Agreement”) with Astellas and Regeneron Pharmaceuticals Inc. (“Regeneron”). Under the Regeneron Letter Agreement, we assumed from Astellas an obligation to make mid-single-digit percentage royalty payments to Regeneron upon the commercialization of products developed from materials originally licensed to Astellas. The payment of royalties may have a negative effect on our results of operations and our ability to reinvest capital generated from commercialization to develop verekitug in additional indications or grow our company. Furthermore, any failure on our part to pay royalties owed to Regeneron could impact our rights to verekitug, lead to the initiation of legal proceedings against us and thereby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assimilating or integrating acquired or licensed technologies, products, employees or business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maintaining uniform standards, procedures, controls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costs associated with acquisitions or strategic alliances, including the assumption of unknown or contingent liabilities and the incurrence of debt or future write-offs of intangible assets or goodwill;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management’s attention from our core business and disruption of ongoing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effects on existing business relationships with suppliers, sales agents, healthcare facilities, surgeons and other healthcare professionals;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associated with entering new markets in which we have limited or no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losses related to investments in other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loss of key employees of acquired businesses;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legal and accounting compliance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healthcare facilities, physicians or other healthcare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our collaborators,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legislative and regulatory framework for the processing of personal data worldwide is rapidly evolving in a manner that is increasingly stringent and, globally, this legal and regulatory framework is likely to remain uncertain for the foreseeable future. 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states have passed laws regulating specific aspects of privacy. For example, a small number of states, such as Illinois and Texas, have enacted laws that specifically target the collection and use of biometric information. Additionally, we may be subject to new laws governing the privacy of consumer health data,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These various privacy and data security laws may impact our business activities, including our identification of research subjects, relationships with business partners and ultimately the marketing and distribution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UK is regarded as a third country under the EU GDPR, the European Commission adopted an adequacy decision in favor of the UK, a decision recognizing the UK as providing adequate protection under the EU GDPR and enabling data transfers from EU Member States to the UK without additional safeguards. In December 2025, the European Commission extended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The EU GDPR and the UK GDPR currently impose substantially similar obligations. However, it is possible that the respective provisions, interpretations and enforcement of the EU GDPR and UK GDPR may further diverge in the future and create additional regulatory challenges and uncertainties, leading to additional compliance costs and could increase our overall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EU Member States had until 17 October 2024 to transpose NIS 2 into national legislation, although some countries have still not completed the transposition. As such, the cybersecurity regulatory landscape in the EEA is currently fragmented and uncertain. To the extent we are subject to NIS 2, we will require additional investment of our resources in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programs. Under NIS 2 companies may be subject to administrative fines of up to the higher amount of €10 million or 2% of worldwide turnover.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at times fail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the development and use of artificial intelligence (“AI”),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In addition, AI technologies, including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and includes prohibitions on certain AI practices and obligations relating to general-purpose AI models. The majority of the provisions under the AI Act became effective on August 2,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As a result, we may face a fragmented and evolving compliance landscape that could increase operational complexity, regulatory scrutiny, and legal exposure associated with the use or development of AI technologies.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Additionally, our vendors may incorporate AI tools into their offerings without disclosing this use to us, and the providers of these AI tools may not meet existing or rapidly evolving regulatory or industry standards with respect to privacy and data protection and may inhibit our or our vendors’ ability to maintain an adequate level of service and experience. If we develop or use AI systems governed by these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and development of verekitug or any other potential future product candidates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The regulatory approval processes of the FDA, the EMA,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permitted to commercialize, market, promote or sell any product candidate in the United States without obtaining regulatory approval from the FDA. Regulatory authorities outside of the United States impose similar requirements. The time required to obtain approval by the FDA, European Commission and other comparable foreign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 BLA to the FDA or similar drug approval submissions to comparable foreign regulatory authorities for any product candidate. We must complete additional preclinical studies and clinical trials to demonstrate the safety and efficacy of verekitug or any other potential future product candidates in humans before we will be able to obtain these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testing is expensive, difficult to design and implement, can take many years to complete and is inherently uncertain as to outcome. The general approach for FDA approval of a new drug has generally been dispositive data from two or more adequate and well-controlled clinical trials of the product candidate in the relevant patient population. In February 2026, the then-FDA Commissioner publicly indicated that the FDA would, going forward, adopt the default position that one adequate and well-controlled trial, combined with confirmatory evidence, could serve as the basis of approval for novel products. In June 2026, FDA issued revised draft guidance clarifying that although sponsors can rely on one scientifically rigorous adequate and well-controlled clinical investigation to satisfy the statutory substantial evidence of effectiveness standard, FDA retains broad discretion to require additional clinical data for any product candidate, including a second adequate and well-controlled clinical trial in some cases. The FDA,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EMA, the European Commission, or other comparable foreign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The clinical development of verekitug or any other potential future product candidates is also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verekitug or any other potential future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verekitug or any other potential future product candidates are toxic or not well tolerated when that is not in fact the case. Serious adverse events or other adverse events, as well as tolerability issues, could hinder or prevent market acceptance of the product candidate at issue.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Verekitug or any other potential future product candidates could fail to receive regulatory approval, or regulatory approval could be delayed,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the competent authorities of individual EU Member States, or other comparable foreign regulatory authorities may disagree with the dosing regimen,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and the European Commission, or other comparable foreign regulatory authorities that a product candidate is safe and effective for any of its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and the European Commission, or other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the European Commission, or other comparable foreign regulatory authorities may disagree with our interpretation of data from clinical trials or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verekitug or any other potential future product candidates may not be sufficient to support the submission of a BLA to the FDA or other submission or to obtain regulatory approval in the United States, the European Union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other comparable foreign regulatory authorities may not file or accept our BLA or marketing application for substantive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staffing changes, leadership changes, and backlogs at the FDA, the EMA or other comparable foreign regulatory authorities may create unexpected delays in the review and approval of any applications we may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competent authorities of individual EU Member States or other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and the European Commission, or other comparable foreign regulatory authorities may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discretion in the approval process and determining when or whether regulatory approval will be granted for verekitug or any other potential future product candidates that we develop. Even if we believe the data collected from future clinical trials verekitug or any other potential future product candidates are promising, such data may not be sufficient to support approval by the FDA, the European Commission, or any other comparable foreign regulatory authority.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verekitug or any other potential future product candidates for fewer or more limited indications than we request, may not approve the price we intend to charge for our products, may grant approval contingent on the performance of costly post-marketing clinical trials or may approve verekitug or any other potential future product candidates with a label that does not include the labeling claims necessary or desirable for the 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commercialization. Any of the foregoing scenarios could materially harm the commercial prospects for verekitug or any other potential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Verekitug represents a novel approach to the treatment of inflammatory diseases, which makes it difficult to predict its likelihood of success and the timing and cost of development and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to develop the only known antagonist currently in clinical development that targets the receptor for Thymic Stromal Lymphopoietin (“TSLP”) and our future success depends on the successful development of this differentiated therapeutic approach. We are in the early stages of developing verekitug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or encounter difficulties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inhibiting the TSLP receptor relative to the approach of other therapies may not materialize or materialize to the degree we anticipate. Further, our scalability and costs of manufacturing may vary significantly as we develop verekitug and understand these critical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clinical study requirements of the FDA, the EMA and the European Commission, and other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Approvals by the European Commission and FDA for existing biologic treatments for asthma, such as dupilumab and tezepelumab, as well as other pathways to approval, may not be indicative of what these regulators may require for approval of our therapy. More generally, approvals by any regulatory authority may not be indicative of what any other regulatory authority may require for approval or what such regulatory authorities may require for approval in connection with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Verekitug may also not perform successfully in clinical trials or may be associated with adverse events that distinguish it from previously approved therapies or those that may be approved in the future. Unexpected clinical outcomes could materially and adversely affect our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observed from preclinical studies or early-stage clinical trials of verekitug or any other potential future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our Phase 2 clinical trials in patients with CRSwNP and patients with severe asthma may not translate to our planned Phase 3 trials, including due to the use of dosing regimens that have not been previously evaluated. Furthermore, verekitug or any other potential future product candidates may not be able to demonstrate similar activity or adverse event profiles as other product candidates that we believe may have similar profiles.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any of our clinical trials will ultimately be successful or support further clinical development of verekitug or any other potential future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may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preclinical and clinical data are often susceptible to varying interpretations and analyses and many companies that believed their product candidates performed satisfactorily in preclinical studies and clinical trials nonetheless failed to obtain FDA, European Commission, or comparable foreign regulatory authority approval.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verekitug or any other potential future product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(“IRBs”), ethics committees, or other reviewing bodies may not authorize us or our investigators to commence a clinical trial, or to conduct or continue a clinical trial at a prospective or specific trial site, or provide a related positive opinion permitting such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or patients required for clinical trials of verekitug or any other potential future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including those manufacturing verekitug or any other potential future product candidates or conducting clinical trials on our behalf,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trial protocols submitted to regulatory authorities or conduct additional studies to reflect changes in regulatory requirements or guidance, which may be required to resubmit to an IRB, ethics committee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verekitug or any other potential future product candidates may be insufficient, inadequate or not available at an acceptable cost, or we may experience interruptions in supply;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for approval policies or regulations of the FDA, the EMA, and the European Commission, or the applicable regulatory authorities to significantly change in a manner rendering our clinical data insufficient for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Regulators, IRBs, or ethics committees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individual EU Member States, or other comparable foreign regulatory authorities resulting in the imposition of a clinical hold, safety issues or adverse side effects, failure to demonstrate a benefit from using a drug or biologic,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verekitug or any other potential future product candidates in such other indications. We do not know whether any clinical trials that we conduct will demonstrate adequate efficacy and safety to result in regulatory approval to market verekitug or any other potential future product candidates for the indications that we are pursuing. If later-stage clinical trials do not produce favorable results, our ability to obtain regulatory approval for verekitug or any other potential future product candidates will be adversely impacted.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planning purposes, we sometimes estimate the timing of the accomplishment of various scientific, clinical, regulatory and other product development objectives. These milestones may include our expectations regarding the commencement or completion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available capital resources or capital constraints we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rate of progress, costs and results of our clinical trials and research and development activities, including the extent of scheduling conflicts with participating clinicians and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and enroll patients who meet clinical trial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receipt of approvals by the FDA and other comparable foreign regulatory authorities and the timing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actions, decisions or rules issued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reliable and affordable supplies of materials used to manufacture verekitug or any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efforts of our collaborators with respect to the commercialization of verekitug or any other potential future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securing of, costs related to, and timing issues associated with, product manufacturing as well as sales and marketing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achieve announced milestones in the timeframes we expect, the development and commercialization of verekitug or any other potential future product candidates may be delayed, and our business, financial condition, results of operations and growth prospects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to successfully initiate and complete clinical trials and to demonstrate the efficacy and safety necessary to obtain regulatory approval to market verekitug or any other potential future product candidates would also significantly harm our business. Our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verekitug or any other potential future product candidates or allow our competitors to bring products to market before we do and impair our ability to successfully commercialize verekitug or any other potential future product candidates, which may harm our business, financial condition, results of operations and growth prospects. In addition, many of the factors that cause, or lead to, delays of clinical trials may ultimately lead to the denial of regulatory approval of verekitug or any other potential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verekitug or any other potential future product candidates we may develop, the commercial prospects for such product candidate may be harmed, and our ability to generate revenues will be materially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trials that we announce or publish from time to time may change as more patient data becomes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verekitug or any other potential future product candidates may be harmed, which could harm our business, financial condition, results of operations and growth prospects. Further, disclosure of interim, top-line or preliminary data by us or by our competitors could result in volatility in the price of our common stock. Furthermore, if we fail to replicate the positive results from our preclinical studies or clinical trials in our future clinical trials, we may be unable to successfully develop, obtain regulatory approval for and commercialize verekitug or any other potential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Patient enrollment is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and exclusion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location of study sites and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and clinicians’ and patients’ perceptions as to the potential advantages and risks of the product candidate being studied in relation to other available therapies, including any new drugs that may be approved for the indications that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our clinical trials will drop out of the trials before completion.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challenges in recruiting principal investigators and patients to participate in ongoing and future clinical trials for verekitug or any other potential future product candidates if we are unable to sufficiently demonstrate the potential of such product candidates. In addition, our clinical trials may compete with other clinical trials for product candidates that are in the same therapeutic areas as verekitug or any other potential future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enroll a sufficient number of patients for our clinical trials, it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verekitug or any other potential future product candidates, cause the value of the company to decline and limit our ability to obtain additional financing if needed. </w:t>
      </w:r>
    </w:p>
    <w:p>
      <w:pPr>
        <w:pStyle w:val="TextBody"/>
        <w:bidi w:val="0"/>
        <w:spacing w:before="360" w:after="283"/>
        <w:jc w:val="left"/>
        <w:rPr>
          <w:rFonts w:ascii="Times New Roman" w:hAnsi="Times New Roman"/>
          <w:sz w:val="20"/>
        </w:rPr>
      </w:pPr>
      <w:r>
        <w:rPr>
          <w:rFonts w:ascii="Times New Roman" w:hAnsi="Times New Roman"/>
          <w:b/>
          <w:i/>
          <w:color w:val="000000"/>
          <w:sz w:val="20"/>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verekitug or any other potential future product candidates could cause us or regulatory authorities to interrupt, delay or halt clinical trials and could result in a more restrictive label or the delay or denial of regulatory approval by the FDA, European Commission, or other comparable foreign regulatory authorities. We may also observe additional safety or tolerability issues with verekitug or any other potential future product candidates in ongoing or future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compounds that initially showed promise in clinical or earlier-stage testing are later found to cause undesirable or unexpected side effects that prevented further development of the compound. Results of ongoing or future clinical trials of verekitug or any other potential future product candidates could reveal a high and unacceptable severity and prevalence of side effects or unexpected characteristics, despite a favorable tolerability profile observed in earlier-stage testing. In addition, although we believe that verekitug’s mechanism of action may differentiate it from other products that address the TSLP signaling pathway, such as tezepelumab, adverse events observed in clinical studies or postmarket use of these products may also be observed with verekitug, which could impact our ability to recruit patients to our clinical trials and our clinical development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verekitug or any other potential future product candidates, we, the FDA, competent authorities of individual EU Member States, or other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competent authorities of individual EU Member States or other comparable foreign regulatory authorities could order us to cease clinical trials, or the FDA, the European Commission, or other comparable foreign regulatory authorities could deny approval of verekitug or any other potential future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verekitug or any other potential future product candidates to understand the side effect profiles for our clinical trials and upon any commercialization of verekitug or any other potential future product candidates. Inadequate training in recognizing or managing the potential side effects of verekitug or any other potential future product candidates could result in harm to patients that are administered verekitug or any other potential future product candidates. Any of these occurrences may adversely affect our business, financial condition, results of operations and growth prospects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clinical trials are conducted in carefully defined sets of patients who have agreed to enter into clinical trials. With a limited number of patients and limited duration of exposure, rare and severe side effects of our current or future product candidates may only be uncovered with a larger number of patients exposed to the product candidate. It is possible that our clinical trials may indicate an apparent positive effect of a product candidate that is greater than the actual positive effect, if any, or alternatively fail to identify undesirable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expand our development of verekitug into additional indications, or discover or acquire, and subsequently develop and commercialize other product candidates, we may be unable to grow our business and our ability to achieve our strategic objectives would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development and potential commercialization of verekitug in severe asthma, CRSwNP and COPD are our initial focus, as part of our longer-term growth strategy, we plan to initiate and advance development of verekitug in additional indications. Expansion into new indications will require additional, time-consuming development efforts prior to commercial sale, including preclinical studies, clinical trials and approval by the FDA, the European Commission,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commercialization of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and even if verekitug or any other potential future product candidate is approved by the appropriate regulatory authorities for marketing and sale, such product candidate may nonetheless fail to achieve sufficient market acceptance by physicians, patients, third-party payors and others in the medical community. Many of the indications for verekitug have well-established standards of care that physicians, patients and payors are familiar with. Even if verekitug or any other potential future product candidates are successful in registrational clinical trials, such product candidate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verekitug or any other potential future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verekitug’s or any other potential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product candidates’ safety and efficacy to the FDA, the European Commission, and other regulators, safety or efficacy concerns in the medical community may hinder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verekitug or any other potential future product candidates may require significant resources, including management time and financial resources, and may not be successful. If verekitug or any other potential future product candidates are approved but do not achieve an adequate level of market acceptance, we may not generate significant revenues and we may not become profitable. The degree of market acceptance of verekitug or any other potential future product candidates,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advantages of the product compared to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product is designated under physician treatment guidelines as a first-, second- or third-line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the ability of any future collaborators, to offer the product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product’s 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and of physicians to prescribe,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including distribution or use restrictions contained in the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sales,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for the targeted indications for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adequacy of coverage and reimbursement from government payors, managed care plans and other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failure by verekitug or any other potential future product candidate that obtains regulatory approval to achieve market acceptance or commercial success would adversely affect our business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and commercial landscapes for the treatment of inflammatory diseases are highly competitive and subject to rapid and significant technological change. We face competition with respect to our indications for verekitug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such as Sanofi, Regeneron, AstraZeneca and Amgen,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“Business—Competition” in our Annual Report for examples of the competition that verekitug faces.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most cases, we do not currently plan to run head-to-head clinical trials evaluating verekitug or any other potential future product candidates against the current standards of care, which may make it more challenging for verekitug or any other potential future product candidates to compete against the current standards of care due to the lack of head-to-head clinical trial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verekitug or any other potential future product candidates we may commercialize and may render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therapies obsolete or non-competitive before we can recover development and commercialization expenses. If verekitug or any other potential future product candidates are approved, it could compete with a range of therapeutic treatments that are in development. In addition, our competitors may succeed in developing, acquiring or licensing technologies and drug products that are more effective or less costly than verekitug or any other potential future product candidates, which could render verekitug or any other potential future product candidates obsolete and noncompetitive.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obtain approval for verekitug or any other potential future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verekitug or any other potential future product candidates. Such competitors could also recruit our employees, which could negatively impact our level of expertise and our ability to execute our business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competitors may obtain patent protection, regulatory exclusivities or FDA approval and commercialize products more rapidly than we do, which may impact future approvals or sales of verekitug or any other potential future product candidates that receive regulatory approval. If the FDA approves the commercial sale of verekitug or any other potential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verekitug or any other potential future product candidates receives regulatory approval but cannot compete effectively in the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develop our sales, marketing and distribution capability on our own or through collaborations with marketing partners, we will not be successful in commercializing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sales or distribution capabilities. We intend to establish a sales and marketing organization, either on our own or in collaboration with third parties, with technical expertise and supporting distribution capabilities to commercialize verekitug or any other potential future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verekitug or any other potential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verekitug or any other potential future product candidates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an adequate number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persuade an adequate number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verekitug or any other potential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verekitug or any other potential future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will not be successful in commercializing verekitug or any other potential future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The increasing use of social media platforms presents new risks and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 </w:t>
      </w:r>
    </w:p>
    <w:p>
      <w:pPr>
        <w:pStyle w:val="TextBody"/>
        <w:bidi w:val="0"/>
        <w:spacing w:before="320" w:after="283"/>
        <w:jc w:val="left"/>
        <w:rPr>
          <w:rFonts w:ascii="Times New Roman" w:hAnsi="Times New Roman"/>
          <w:sz w:val="20"/>
        </w:rPr>
      </w:pPr>
      <w:r>
        <w:rPr>
          <w:rFonts w:ascii="Times New Roman" w:hAnsi="Times New Roman"/>
          <w:b/>
          <w:color w:val="000000"/>
          <w:sz w:val="20"/>
        </w:rPr>
        <w:t>Risks related to employee matters and managing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expand our organization,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verekitug or any other potential future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develop verekitug or any other potential future product candidates and our future growth depends on attracting, hiring and retaining our key personnel and recruiting additional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verekitug or any other potential future product candidates. As we continue developing verekitug or any other potential future product candidates, we will require personnel with medical, scientific, or technical qualifications specific to each program. The loss of key personnel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clinical operations and research and development programs depend on our ability to attract and retain highly skilled scientists, data scientists, and engineers, particularly in Massachusetts.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before="32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on third parties, such as CROs, clinical data management organizations, medical institutions and clinical investigators, to conduct our clinical trials and expect to rely on these third parties to conduct clinical trials for verekitug or any other potential future product candidates that we develop. Our ability to complete clinical trials in a timely fashion depends on a number of key factors. These factors include protocol design, regulatory and IRB approval, or positive opinions from ethics committees,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Comparable requirements and enforcement actions apply in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remain responsible for ensuring that each of our trials is conducted in accordance with the applicable protocol, informed consent forms submitted to competent regulatory authorities, legal and regulatory requirements and scientific standards. Our failure or the failure of third parties to comply with the applicable protocol, informed consent forms,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verekitug or any other potential future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 Comparable transparency and publication requirements apply in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Furthermore,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verekitug or any other potential future product candidates. If that occurs, we will not be able to, or may be delayed in our efforts to, successfully commercialize verekitug or any other potential future product candidates. In such an event, our financial results and the commercial prospects for verekitug or any other potential future product candidates that we seek to develop could be harmed, our costs could increase and our ability to generate revenues could be delayed, impaired or foreclosed.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other third parties to store and distribute drug supplies for our clinical trials. Any performance failure on the part of our distributors could delay clinical development or regulatory approval of verekitug or any other potential future product candidates or commercialization of any resulting products, producing additional losses and depriving us of potential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verekitug or any other potential future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negatively impact our ability to meet our expected clinical development timelines and harm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information technology systems, or those used by our CROs or other contractors or consultants, may fail or suffer security breaches, which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technology systems and data and those of our current or future contract research organizations or other contractors and consultants are vulnerable to compromise or damage from computer hacking, computer viruses, and malware (e.g., ransomware malicious software), business email compromises, data breaches, denial-of-service attacks, wrongful conduct by vendors, attacks enhanced or facilitated by AI,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Attempts to disrupt or gain unauthorized access to our and our third-party service providers’ information systems from malicious third parties or insider threats may incorporate widely varying and frequently changing tactics, which may be enhanced or facilitated by AI.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information technology (“IT”) personnel, periodic cyber security awareness trainings, improvements to IT infrastructure and controls, and conduct regular testing of our systems, there can be no assurance that our efforts will prevent service interruptions, security incidents, breaches in, or compromises of our systems or those of third-party CROs, vendors, contractors, consultants and/or third parties with whom we do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Like other companies in our industry, we and certain of our service providers have experienced cyberattack attempts or incidents and security incidents relating to our information technology systems and infrastructure. Any cybersecurity incident or data breach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distract management. Further, a cybersecurity incident may disrupt our business or damage our reputation, which could have a material adverse effect on our business, financial condition, results of operations, growth prospects, share price and shareholder value. We could also incur substantial remediation costs, including the costs of investigating the incident, repairing or replacing damaged systems, restoring normal business operations, implementing increased cybersecurity protections, and paying increased insurance premiums.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the loss of clinical trial data from completed, ongoing or future clinical trials could result in delays in or denials of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collaborators for research and development of verekitug and other third parties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 and commercialization of verekitug or any other potential future product candidates could be delayed, result in substantial costs and distract management.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advancement, development programs and potential commercialization of verekitug or any other potential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verekitug or any other potential future product candidates from foreign regulatory authorities, we may enter into collaborations with international biotechnology or pharmaceutical companies for the commercialization of such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verekitug or any other potential future product candidates from competing product candidates, design or results of clinical trials, the likelihood of approval by the FDA, the European Commission,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verekitug or any other potential future product candidates.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verekitug or any other potential future product candidates or bring them to market and generate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verekitug or any other potential future product candidates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existing research and development arrangement as well as any future collaborations with third parties for the development and commercialization of verekitug or any other potential future product candidates may not be successful, which could adversely affect our ability to advance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research and development arrangement and may in the future enter into collaborations for the development and commercialization of verekitug or any other potential future product candidates. Any collaborations may limit our control over the amount and timing of resources that our collaborators will dedicate to the development or commercialization of verekitug or any other potential future product candidates. Our ability to generate revenues from these arrangements will depend on any future collaborators’ abilities to successfully perform the functions assigned to them in these arrangements. For example, we granted Maruho Co., Ltd. (“Maruho”) an exclusive, irrevocable, perpetual, royalty-free, sublicensable license for the development and commercialization of verekitug in Japan (the “Maruho License Agreement”). Under the Maruho License Agreement, we are responsible for and control the global research and development of verekitug in Japan. In addition, any future collaborators may have the right to abandon research or development projects and terminate applicable agreements, including funding obligations, prior to or upon the expiration of the agreed upon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Collaborations involving verekitug or any other potential future product candidates pose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verekitug or any other potential future product candidates or may elect not to continue or renew development or commercialization programs, based on clinical trial results, changes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collaborators’ strategic focus or available funding or external factors, such as an acquisition, which divert resources or create competing priorities;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verekitug or any other potential future product candidates,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verekitug or any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products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verekitug or any other potential future product candidates, might lead to additional responsibilities for us with respect to such product candidate,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verekitug or any other potential future product candidates in the most efficient manner or at all. If any future collaborator of ours is involved in a business combination, it could decide to delay, diminish or terminate the development or commercialization of verekitug or any other potential future product candidates licensed to it by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clinical or commercial quantities of verekitug or any other potential future product candidates, and we lack the resources and the capabilities to do so. Our current strategy is to outsource all manufacturing of verekitug or any other potential future product candidates to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For example, in December 2025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an entity that uses biotechnology equipment or services from a designated “biotechnology company of concern” (“BCC”) and from expending certain federal loan or grant funds for such equipment or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rely on and engage third-party manufacturers to provide all of the APIs and the final drug product formulation of verekitug that is being used in our clinical trials and preclinical studies, including WuXi Biologics (Hong Kong) Limited (“WuXi Biologics”). While WuXi Biologics is not currently listed as a BCC, earlier legislative drafts of the BIOSECURE Act explicitly identified WuXi AppTec Co. Ltd., a separate, but affiliated WuXi entity, (“WuXi AppTec”) as a BCC; and also on June 8, 2026, the Department of Defense identified WuXi AppTec in its updated 1260H list, which would result in WuXi AppTec being designated as a BCC under the BIOSECURE Act in the future. Although only WuXi AppTec has been identified in the Department of Defense’s 1260H list, there is no guarantee that WuXi Biologics will not be identified on the 1260H list or designated as a BCC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BIOSECURE Act includes certain exceptions, waivers, and safe harbors, including a transition period for existing contracts following the issuance of implementing regulations, these provisions may be limited in scope, subject to agency interpretation, or unavailable in particular circumstances. In addition, the BIOSECURE Act has not yet been fully implemented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final regulations, and the manner in which U.S. government agencies will interpret and enforce these restrictions remains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WuXi Biologics, or any other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 investment, or ultimately commercialize any product candidates, which could materially harm our business,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verekitug or any other potential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verekitug or any other potential future product candidates, and the costs of manufacturing could be prohibitive.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manufacturers have difficulty or suffer delays in successfully manufacturing material that meets our specifications, it may limit supply of verekitug or any other potential future product candidates and could delay our clinical trials. For example, during routine evaluation of drug samples as part of stability testing of material produced by a previous manufacturing process, particles were observed. This resulted in a brief pause in dosing in our Phase 1b MAD clinical trial of verekitug for the treatment of asthma while a standard investigation was conducted, after which dosing resumed. There can be no assurance that similar or longer delays will not be necessary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establish and maintain arrangements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of the third-party manufacturer to comply with applicable regulatory requirements and reliance on third parties for manufacturing process development,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delays if our third-party manufacturers give greater priority to the supply of other products over verekitug or any other potential future product candidates or otherwise do not satisfactorily perform according to the terms of the agreement between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supply availability resulting from capacity and scheduling constraints of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manufacturing agreements by third parties because of factors beyond our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manufacturing agreements by the third party, at a time that is costly or inconvenient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maintain our key manufacturing relationships, we may fail to find replacement manufacturers or develop our own manufacturing capabilities, which could delay or impair our ability to obtain regulatory approval for verekitug or any other potential future product candidates. If we do find replacement manufacturers, we may not be able to enter into agreements with them on terms and conditions favorable to us and there could be a substantial delay before new facilities could be qualified and registered with the FDA and comparable foreign regulatory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verekitug or any other potential future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verekitug or any other potential future product candidates according to the specifications previously submitted to the FDA, the EMA and the European Commission,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another comparable foreign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or commercialize verekitug or any other potential future product candidates in a timely manner or within budget. Furthermore, a third-party manufacturer may possess technology related to the manufacture of verekitug or any other potential future product candidates that such third party owns independently. This would increase our reliance on such third-party manufacturer or require us to obtain a license from such third-party manufacturer in order to have another third party manufacture verekitug or any other potential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verekitug is approved by any regulatory authority, we intend to utilize arrangements with third-party contract manufacturers for the commercial production of that product. This process is difficult and time consuming and we may face competition for access to manufacturing facilities as there are a limited number of contract manufacturers operating under cGMPs that are capable of manufacturing verekitug. Consequently, we may not be able to reach agreement with third-party manufacturers on satisfactory terms, which could delay our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manufacturers are located outside of the United States.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APIs used in verekitug or any other potential future product candidates, or our business may be adversely impacted by retaliatory trade measures taken by China or other countries, including restricted access to such raw materials used in verekitug or any other potential future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or the failure of our third-party manufacturers, to comply with applicable regulations could result in sanctions being imposed on us, including shutdown of the third-party vendor or rejection of drug product lots or processes, clinical holds, fines, injunctions, civil penalties, delays, suspension, variation or withdrawal of approvals, license revocation, seizures or voluntary recalls of product candidates or drugs if approved, operating restrictions and criminal prosecutions, any of which could significantly affect supplies of verekitug or any other potential future product candidates. The facilities used by our contract manufacturers to manufacture verekitug or any other potential future product candidates must be evaluated by the FDA and comparable foreign regulatory authorities. We have limited control over the manufacturing process of, and are dependent on, our contract manufacturing partners for compliance with cGMPs. If our contract manufacturers cannot successfully manufacture material that conforms to our specifications and the strict regulatory requirements of the FDA, the European Union, or other comparable foreign regulatory authorities, we may not be able to secure and/or maintain regulatory approval for verekitug or any other potential future product candidates manufactured at these facilities. In addition, we limited control over the ability of our contract manufacturers to maintain adequate quality control, quality assurance and qualified personnel. If the FDA or a comparable foreign regulatory authority finds deficiencies or does not approve these facilities for the manufacture of verekitug or any other potential future product candidates or if it withdraws any such approval in the future, we may need to find alternative manufacturing facilities, which would significantly impact our ability to develop, obtain regulatory approval for or market verekitug or any other potential future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Union, and comparable foreign regulatory requirements could adversely affect our clinical research activities and our ability to develop, and if approved, market verekitug or any other potential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require manufacturers to register manufacturing facilities. The FDA and corresponding foreign regulators also inspect these facilities to confirm and monitor compliance with cGMPs.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third-party manufacturer of verekitug or any other potential future product candidates is unable to increase the scale of its production or the product yield of its manufacturing, then our manufacturing costs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produce sufficient quantities to meet the demand for clinical trials and, if approved, subsequent commercialization of verekitug or any other potential future product candidates, our third-party manufacturers will be required to increase their production and optimize their manufacturing processes while maintaining the quality of verekitug or any other potential future product candidates. The transition to larger scale production could prove difficult. In addition, if our third-party manufacturers are not able to optimize their manufacturing processes to increase the product yield for verekitug or any other potential future product candidates, or if they are unable to produce increased amounts of verekitug or any other potential future product candidates while maintaining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same quality then we may not be able to meet the demands of clinical trials or market demands, which could decrease our ability to generate profits and have a material adverse impact on our business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verekitug or any other potential future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verekitug or any other potential future product candidates to perform differently and affect the results of planned clinical trials or other future clinical trials conducted with the materials manufactured using altered processes. Such changes may also require additional testing, notification or approval by the FDA, or comparable foreign regulatory authorities. This could delay or prevent completion of clinical trials, require conducting bridging clinical trials or the repetition of one or more clinical trials, increase clinical trial costs, delay or prevent approval of verekitug or any other potential future product candidates and jeopardize our ability to commence sales and generate revenue. </w:t>
      </w:r>
    </w:p>
    <w:p>
      <w:pPr>
        <w:pStyle w:val="TextBody"/>
        <w:bidi w:val="0"/>
        <w:spacing w:before="32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Obtaining and maintaining regulatory approval of verekitug or any other potential future product candidates in one jurisdiction does not mean that we will be successful in obtaining regulatory approval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verekitug or any other potential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other comparable foreign regulatory authorities must also approve the manufacturing and marketing of the product candidate in those territories.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verekitug or any other potential future product candidates will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of verekitug or any other potential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verekitug or any other potential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verekitug or any other potential future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European Union, and comparable foreign regulatory requirements, including ensuring that quality control and manufacturing procedures conform to cGMP regulations and applicable product tracking and tracing requirements. As such, we and our contract manufacturers will be subject to continual review and inspections to assess continuous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regulatory approvals that we receive for verekitug or any other potential future product candidates may be subject to limitations on the approved indicated uses for which the product may be marketed or to the conditions of approval, or contain requirements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Risk Evaluation and Mitigation Strategies (“REMS”) as a condition of approval of verekitug or any other potential future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FDA, the European Commission, or a comparable foreign regulatory authority approves verekitug or any other potential future product candidates, we will have to comply with requirements including submissions of safety and other post-marketing information and reports and registration.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impose consent decrees or withdraw or vary approval if compliance with regulatory requirements and standards is not maintained or if problems occur after the product reaches the market. Later discovery of previously unknown problems with verekitug or any other potential future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authorities to approve pending applications or supplements to approved applications filed by us or suspension, variation or withdrawal of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verekitug or any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distribution, manufacturing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licenses;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fines or the 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FDA and comparable foreign regulatory authorities strictly regulate marketing, labeling, advertising and promotion of products that are placed on the market. Products may be promoted only for the approved indications and in accordance with the provisions of the approved label.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policies of the FDA, the EMA, and the European Commission, and comparable foreign regulatory authorities may change and additional government regulations may be enacted that could prevent, limit or delay regulatory approval of verekitug or any other potential future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“Business—Government regulation” in our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Verekitug or any other potential future product candidates for which we intend to seek approval as biological products may face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2010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sponsor’s own preclinical data and data from adequate and well-controlled clinical trials to demonstrate the safety, purity and potency of its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any of our potential future product candidates approved as a biological product under a BLA should qualify for the 12-year period of exclusivity. However, there is a risk that this exclusivity could be shortened due to Congressional action or otherwise, or that the FDA will not consider verekitug or any other potential future product candidates to be reference products for competing products, potentially creating the opportunity for biosimilar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different types of biological product. </w:t>
      </w:r>
    </w:p>
    <w:p>
      <w:pPr>
        <w:pStyle w:val="TextBody"/>
        <w:bidi w:val="0"/>
        <w:spacing w:before="360" w:after="283"/>
        <w:jc w:val="left"/>
        <w:rPr>
          <w:rFonts w:ascii="Times New Roman" w:hAnsi="Times New Roman"/>
          <w:sz w:val="20"/>
        </w:rPr>
      </w:pPr>
      <w:r>
        <w:rPr>
          <w:rFonts w:ascii="Times New Roman" w:hAnsi="Times New Roman"/>
          <w:b/>
          <w:i/>
          <w:color w:val="000000"/>
          <w:sz w:val="20"/>
        </w:rPr>
        <w:t>While we may in the future seek designations for verekitug or any other potential future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verekitug or any other potential future product candidates are granted such designations, we may not be able to maintain such designations or realize the intended benefits of such designations.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verekitug or any other potential future product candidates. In addition, while such designations could expedite the development or approval process, they generally do not change the standards for approval. Even if we obtain such designations for verekitug or any other potential future product candidates, there can be no assurance that we will realize their intended benefits.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we may seek a Fast Track Designation for verekitug or any other potential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seek Breakthrough Therapy Designation for verekitug or any other potential future product candidates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unsuccessful in obtaining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U.S. In the United States, orphan drug designation entitles a party to financial incentives such as opportunities for grant funding towards clinical trial costs, tax advantages and user fee waivers.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the EU,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In the EU, orphan medicinal product designation entitles a party to incentives such as reduction of fees or fee waivers protocol assistance, and access to the centralized marketing authorization procedure.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product with an orphan drug designation subsequently receives the first marketing approval for the indication for which it has such designation, the drug is entitled to a period of marketing exclusivity, which precludes the FDA from approving another marketing application for the same product and indication for that time period, except in limited circumstances. In the EU, marketing exclusivity prevents the EMA and competent authorities in the EU from accepting another application for marketing authorization for a similar medicinal product in the same therapeutic indication as the authorized orphan product. The applicable period is seven years in the U.S. and ten years in the EU. The EU exclusivity period may also be extended by two years for orphan medicinal products that have also complied with an agreed Pediatric Investigation Plan. However, the EU exclusivity period can be reduced to six years, if at the end of the fifth, it is established that a product no longer meets the criteria on the basis of which it received orphan medicinal product designation, including where it can be demonstrated on the basis of available evidence that the product is sufficiently profitable so that market exclusivity is no longer justified or where the prevalence of the condition has increased above the threshold.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or the European Commission can subsequently approve the same drug for the same condition if the FDA or the European Commission concludes that the later drug is clinically superior in that it is shown to be safer, more effective or makes a major contribution to patient care. </w:t>
      </w:r>
    </w:p>
    <w:p>
      <w:pPr>
        <w:pStyle w:val="TextBody"/>
        <w:bidi w:val="0"/>
        <w:spacing w:before="360" w:after="283"/>
        <w:jc w:val="left"/>
        <w:rPr>
          <w:rFonts w:ascii="Times New Roman" w:hAnsi="Times New Roman"/>
          <w:sz w:val="20"/>
        </w:rPr>
      </w:pPr>
      <w:r>
        <w:rPr>
          <w:rFonts w:ascii="Times New Roman" w:hAnsi="Times New Roman"/>
          <w:b/>
          <w:i/>
          <w:color w:val="000000"/>
          <w:sz w:val="20"/>
        </w:rPr>
        <w:t>Where appropriate, we may secure approval from the FDA, the European Commission or other comparable foreign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comparable foreign regulatory authorities may seek to withdraw the accelerated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our one or more of our potential future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or approval following comparable foreign abbreviated pathways, we would seek feedback from the FDA or other comparable foreign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other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comparable foreign abbreviated pathways, there can be no assurance that such application will be accepted or that any approval will be granted on a timely basis, or at all. The FDA, the EMA, or the European Commission, or other comparable foreign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FDA or comparable foreign regulatory authorities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funding for, or disruptions to the staffing and operations of, the FDA, the SEC, and other U.S.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other comparable regulatory authorities to review and approve new products can be affected by a variety of factors, including government budget and funding levels, availability of personnel and other resources, the FDA’s or other comparable regulatory authorities’ ability to hire and retain key personnel and accept the payment of user fees, statutory, regulatory, and policy changes, leadership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the SEC, other U.S. government agencies or comparable foreign regulatory authorities, including as a result of substantial leadership departures, personnel cuts, and policy changes, may also slow the time necessary for new products to be reviewed and/or approved by necessary government agencies, which would adversely affect our business. Changes and cuts in FDA staffing have resulted in delays in the FDA’s responsiveness, including its ability to review IND submissions or marketing applications, issue regulations or guidance, and implement or enforce regulatory requirements in a timely fashion or at all. For example, over the last several years, the U.S. government has shut down several times, including for a 43-day period from October 1, 2025 through November 12, 2025, and certain regulatory agencies, such as the FDA and the SEC, have had to furlough critical employees and stop critical activities. If a prolonged government shutdown occurs again, such as the one that occurred in October 2025, or if global health concerns, funding shortages or staffing limitations hinder or prevent the FDA, the SEC or other regulatory authorities from conducting their regulatory inspections, reviews or other regulatory activities, including formal or informal interactions with product developers, it could significantly impact the ability of the FDA or other such regulatory authorities to timely review and process our regulatory submissions, which could have a material adverse effect on our business. Further, in our operations as a public company,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change in the U.S. presidential administration in 2025, there continues to be substantial uncertainty as to the extent and manner in which the leadership of the FDA and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modify their regulatory frameworks in a manner that could impact our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relationships with healthcare professionals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governmental and enforcement authorities will conclude that our business practices may not comply with current or future statutes, regulations or case law interpreting applicable fraud and abuse or other healthcare laws and regulations. Healthcare professionals,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supranational, national, federal and state healthcare laws and regulations that may affect our ability to operate may apply. For more information on healthcare laws and regulations that may impact our company, see the section titled “Business—Government regulation—Other healthcare laws” in our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professionals,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or other competent authority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professionals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Coverage and reimbursement may be limited or unavailable in certain market segments for verekitug or any other potential future product candidates, if approved, which could make it difficult for us to sell them profitably.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verekitug or any other potential future product candidates, if approved, depends on the availability of coverage and adequate reimbursement from third-party payors.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no uniform policy of coverage and reimbursement for products exists among third-party payors, and the principal decisions about reimbursement for new medicines are typically made by the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verekitug or any other potential future product candidates. Even if we do receive a favorable coverage determination for our products by third-party payors, coverage policies and third-party payor reimbursement rates may change at any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verekitug or any other potential future product candidates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verekitug or any other potential future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verekitug or any other potential future product candidates, if any, may be.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some foreign countries, the proposed pricing for a product must be approved before it may be lawfully marketed. The requirements governing product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or any other potential future product candidates. Historically, products launched in the European Union do not follow price structures of the United States and generally prices tend to be significantly lower.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more information on the laws and regulations that may impact coverage and reimbursement of verekitug or any other potential future product candidates, see the section titled “Business—Government regulation—Coverage and reimbursement” in our Annual Report. </w:t>
      </w:r>
    </w:p>
    <w:p>
      <w:pPr>
        <w:pStyle w:val="TextBody"/>
        <w:bidi w:val="0"/>
        <w:spacing w:before="360" w:after="283"/>
        <w:jc w:val="left"/>
        <w:rPr>
          <w:rFonts w:ascii="Times New Roman" w:hAnsi="Times New Roman"/>
          <w:sz w:val="20"/>
        </w:rPr>
      </w:pPr>
      <w:r>
        <w:rPr>
          <w:rFonts w:ascii="Times New Roman" w:hAnsi="Times New Roman"/>
          <w:b/>
          <w:i/>
          <w:color w:val="000000"/>
          <w:sz w:val="20"/>
        </w:rPr>
        <w:t>Ongoing healthcare legislative and regulatory reform measures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sections titled “Business—Government regulation—Coverage and reimbursement” and “—Healthcare reform” in our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(MFN)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 Recent CMS proposals to implement MFN pricing in Medicare and Medicaid, including the Global Benchmark for Efficient Drug Pricing, the Guarding U.S. Medicare Against Rising Drug Costs, and the GENErating cost Reductions for U.S. Medicaid models, which seek to incorporate MFN drug pricing into Medicare and Medicaid, could materially impact the Company’s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Regulation No 2021/2282 on Health Technology Assessment (“HTA”) amending Directive 2011/24/EU, was adopted in the EU. This Regulation, which entered into force in January 2022 and became applicable in January 2025,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and future supranational, national state and federal healthcare reform measures may be adopted in the future, any of which may result in additional reductions in Medicare and other healthcare funding and otherwise affect the prices we may obtain for verekitug or any other potential future product candidates for which we may obtain regulatory approval or the frequency with which any such product candidate is prescribed or used.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consultants,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current and any future employees, independent contractors, consultants, contract manufacturing organizations, CROs and vendors. Misconduct by these parties could include intentional, reckless, and/or negligent conduct that fails to comply with FDA or other regulations, provide true, complete and accurate information to the FDA, the national competent authorities of individual EU Member States,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verekitug or any other potential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Off-label use or misuse of verekitug or any other potential future product candidates may harm our reputation in the marketplace or result in injuries that lead to costly product liability suits.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verekitug or any other potential future product candidates are approved by the FDA, we may only promote or market them in a manner consistent with their FDA-approved labeling. We will train our marketing and sales force against promoting verekitug or any other potential future product candidates for uses outside of the approved indications for use, known as “off-label uses.” We cannot, however, prevent a physician from verekitug or any other potential future product candidates off-label, when in the physician’s independent professional medical judgment he or she deems it appropriate. Furthermore, the use of verekitug or any other potential future product candidates for indications other than those approved by the FDA may not effectively treat such conditions.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verekitug or any other potential future product candidates could harm our reputation in the marketplace among physicians and patients. There may also be increased risk of injury to patients if physicians attempt to use verekitug or any other potential future product candidates for these uses for which they are not approved, which could lead to product liability suits that might require significant financial and management resources and that could harm our reputation. Similar requirements and considerations apply abroad.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EU drug marketing and reimbursement regulations may materially affect our ability to market and receive coverage for our products in the EU Member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seek approval to market verekitug or any other potential future product candidates in both the United States and in selected foreign jurisdictions. If we obtain approval in one or more foreign jurisdictions for verekitug or any other potential future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verekitug or any other potential future product candidates. In these countries, pricing negotiations with governmental authorities can take considerable time after obtaining marketing approval of a product candidate. In addition, market acceptance and sales of verekitug or any other potential future product candidates will depend significantly on the availability of adequate coverage and reimbursement from third-party payors for them and may be affected by existing and future healthcare reform measures.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European Union. Interactions between pharmaceutical companies and healthcare professionals, including the provision of benefits or advantages, are governed by strict laws, such as national anti-bribery laws of individual EU Member States and the Bribery Act 2010 in the UK,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these laws could result in substantial fines and imprisonment.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Payments made to physicians and other healthcare professionals in certain EU Member States must be publicly disclosed. Moreover, agreements with physicians often may require prior notification or approval by the healthcare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some foreign countries, including some countries in the European Union, the proposed pricing for a product must be approved before it may be lawfully marketed. The requirements governing product pricing and reimbursement vary widely from country to country.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individual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This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Reference pricing used by various EU Member States and parallel distribution, or arbitrage between low-priced and high-priced EU Member States, can further reduce prices.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verekitug or any other potential future product candidates in those countries would be negatively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verekitug or any other potential future product candidates.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32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success is largely based upon our intellectual property and proprietary technologies, and we may be unable to protect and/or enforce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and trade secret protection for verekitug or any other potential future product candidates and their formulations and uses, as well as successfully enforcing our patents against third-party infringers and/or defending these patents against third-party challenges. If we (or our licensees should such licensees be granted the right to prosecute or enforce certain patents within our portfolio) fail to appropriately prosecute or are unable to obtain and maintain patent protection for verekitug or any other potential future product candidates (or aspects thereof), our ability to develop, license and/or commercialize these product candidates may be adversely affected and we may not be able to prevent competitors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our partners will be successful in protecting verekitug or any other potential future product candidates by obtaining, enforcing and defending patents. These risks and uncertainties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applications may not result in any patent being issued;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may be issued may not include claims that cover a broad enough scope to prevent design around solutions by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may be issued may be challenged, invalidated, modified, revoked, circumvented, found to be unenforceable, or otherwise may not provide adequate barriers to entry or any competitive advantage;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extensive time required for development, testing and regulatory review of a potential product, it is possible that before a potential product can be commercialized, any related patent may expire, or remain in existence for only a short period following commercialization, reducing, or eliminating any advantage of the patent;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many of which have substantially greater resources than us or our partners do, and many of which have made significant investments in competing technologies, may seek, or may already have sought or obtained, patents that will limit, interfere with, or eliminate our ability to make, use, and sell our potential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pressure on the U.S. government and other international governmental bodies to limit the scope of patent protection for disease treatments that prove successful as a matter of public policy regarding worldwide health concerns;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countries other than the United States may have patent laws less favorable to patentees than those upheld by United States courts, allowing foreign competitors a better opportunity to create, develop, and market competing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lawsuits to protect or enforce our patents or the patents we have rights to enforce, which could be expensive, time consuming and/or unsuccessful.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patents, we also rely on trade secrets and proprietary know-how. Although we have taken steps to protect our trade secrets and unpatented know-how, including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would reduce or eliminate our competitive advantage. Moreover, we may become subject to claims that we directly or indirectly (through our consultants, advisors, or independent contractors that we may engage to assist us in developing verekitug or any other potential future product candidates) have wrongfully or inadvertently disclosed, acquired or used trade secrets or other proprietary information of third parties.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forced to litigate to enforce or defend our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forced to litigate to enforce or defend our intellectual property rights against infringement by competitors, and to protect our trade secrets against unauthorized use. In so doing, we may place our intellectual property at risk of being invalidated, rendered unenforceable, or limited or narrowed in scope such that we may no longer be used to adequately prevent the manufacture, sale or import of competitive product. Further, an adverse result in any litigation or other proceedings before government agencies such as the United States Patent and Trademark Office (the “USPTO”), may place pending applications at risk of non-issuance or limitations in scope. Further, derivation proceedings, entitlement proceedings, ex parte reexamination, inter partes review, post 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or trade secrets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resulting from the initiation and continuation of patent litigation or other proceedings could have a material adverse effect on our ability to compete in the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enter into future arrangements involving government funding, and we make inventions as a result of such funding, our intellectual property rights to such discoveries may be subject to the applicable provisions of the Bayh Dole Act of 1980. To the extent any of our current or future intellectual property is generated through the use of U.S. government funding, the provisions of the Bayh Dole Act may similarly apply. Any exercise by the government of certain of our rights could harm our competitive position,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our partners are sued for infringing or misappropriating the intellectual property rights of third parties, it could be costly and time consuming, and an unfavorable outcome in any such litigation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also depends upon our ability and the ability of us any of our future partners to develop, manufacture, market and sell verekitug or any other potential future product candidates without infringing on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Because patent applications can take many years to issue, there may be currently pending applications, now unknown to us, which may later result in issued patents that verekitug or any other potential future product candidates or proprietary technologies may be alleged to infringe upon. Similarly, there may be issued patents relevant to verekitug or any other potential future product candidates of which we are not aware.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third parties may sue us alleging that we infringe, or have infringed, on their patents. Even if we are successful in defending any claims of infringement, the defense of such claims may be costly and present a time consuming distraction. In the event of a successful claim of infringement against us, we may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 substantial damages and/or ongoing royalty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stop using some or all of our technologies and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stop certain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non infringing products or methods (i.e., develop or design around); and/or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one or more licenses from third parties for an upfront lump sum, an ongoing royalty, or a combination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required, there can be no assurance that we will be able to obtain such licenses on acceptable terms, or at all. If we are sued for infringement, we could encounter substantial delays in the development, manufacture, and commercialization of verekitug or any other potential future product candidates. Any litigation, whether to enforce our patent rights or to defend against allegations that we allegedly infringe on third-party rights, could be costly, time consuming, and may distract management from other important tasks.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commonplace in the biotechnology and pharmaceutical industry, we employ individuals who were previously employed at other biotechnology or pharmaceutical companies, including our competitors or potential competitors. To the extent our employees are involved in research endeavors that are similar to those which they were involved in at their former place of employment, we may be subject to claims that such employees and/or we have inadvertently or otherwise used or disclosed the alleged trade secrets or other proprietary information of such former employers. Litigation may be necessary to defend against such claims, which could result in substantial costs, be a distraction to management and ultimately have a material adverse effect on us, even if we are successful in defending such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have experienced substantial litigation and other proceedings concerning intellectual property rights, and third parties may initiate legal proceedings alleging that we are infringing, misappropriating, or otherwise violating their intellectual property rights, the outcome of which could be uncertain and may prevent, delay, or otherwise interfere with our product discovery and development efforts. Our commercial success depends upon our ability or may depend on the ability of future collaborators to develop, manufacture, market, and sell our products. The biotechnology and pharmaceutical industries are characterized by extensive litigation regarding patents and other intellectual property rights as well as administrative proceedings for challenging patents, including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concerning intellectual property rights with respect to verekitug or any other potential future product candidates we may develop, including interference proceedings, post grant review, inter partes review, and derivation proceedings before the USPTO and similar proceedings in foreign jurisdictions such as oppositions before the European Patent Office. Numerous United States and foreign issued patents and pending patent applications that are owned by third parties exist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fields in which we are developing verekitug or any other potential future product candidates and infringement claims may be asserted against us or our partners based on existing patents or patents that may be granted in the future, regardless of their merit.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clear to industry participants, including us, which patents cover various types of therapies, products or their methods of use or manufacture. Moreover, as with many technology-based products, there may be third-party patent applications that, if issued, may include the claims that could be or are construed to cover components of verekitug or any other potential future product candidates. There may also be third-party patents of which we are currently unaware with claims to our technologies, compositions, methods of manufacture or methods of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commercialize verekitug or any other potential future product candidates in the United States and abroad may be adversely affected if we cannot successfully defend against infringement claims or obtain a license on commercially reasonable terms to relevant third-party patents that cover verekitug or any other potential future product candidates. Even if we have a strong defense and/or believe that third-party intellectual property claims are without merit, there can be no assurance that a court would find in our favor on questions of infringement, validity, enforceability, and/or priority. A court of competent jurisdiction could hold that these third-party patents are valid and enforceable and have been infringed upon, which could materially and adversely affect our ability to commercialize verekitug or any other potential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claims, there is no assurance that a court of competent jurisdiction would invalidate the asserted claims of any such U.S. patent. If we are found to be infringing on a third party’s intellectual property rights, and we are unsuccessful in demonstrating that any such patents are invalid or unenforceable, we could be required to pay damages and/or an ongoing royalty or obtain a license from such third party to continue developing, manufacturing, and marketing verekitug or any other potential future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verekitug or any other potential future product candidates or such commercialization efforts may be significantly delayed, which could in turn significantly harm our business. While less likely given the high bar required for injunction,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on a patent or other intellectual property right. Claims that we have misappropriated the confidential information or trade secrets of third parties could have a similar material adverse effect on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defense of third-party claims of alleged infringement or misappropriation of a third party’s intellectual property rights often involves substantial litigation expense and could also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growth prospects. There could also be public announcements of the results of hearings, motions, or other interim proceedings or developments, and if securities analysts or investors perceive these results to be negative, this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are due to be paid to the USPTO and foreign patent agencies outside of the United States over the lifetime of our patents and applications. If, in the future, we in-license patent rights, in the case of any in-licensed patent rights, we generally rely on our licensors to pay these fees due to U.S. and non U.S. patent agencies. For patent rights we own, we may rely on our outside patent counsel and/or annuity services in the United States and foreign countries to monitor these deadlines and to pay these fees when so instructed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USPTO and foreign patent agencies require compliance with procedural, documentary, fee payment, and other similar provisions, such as the requirement to disclose known prior art, during the patent application process. In the case of any in-licensed patent rights, we will generally depend on our licensors to take the necessary action to comply with these requirements with respect to our licensed intellectual property, and for our owned patent applications, we engage counsel and other professionals to help us comply with these requirements. While certain inadvertent lapses can be cured by payment of a late fee, by petition, or by other means in accordance with the applicable rules, there are situations in which non-compliance can result in a partial or complete loss of patent rights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relevant jurisdiction. In the unlikely event that a non-compliance event were to occur, our competitors might be able to enter the market with similar or identical products or technology given our partial or complete loss of patent rights, which could have a material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on verekitug or any other potential future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legal remedies in a particular country and the validity and enforceability of the patent, and whether a portion of the patent term has been terminally disclaimed based on other patents. Various extensions including patent term extension and patent term adjustment may be available, but the lives of such extensions, and the protections they afford, are limited. Even if patents covering verekitug or any other potential future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verekitug or any other potential future product candidates might expire before or shortly after we or our partners commercialize those candidates. As a result, our patent portfolio may not provide us with sufficient rights to exclude others from commercializing products similar or identical to ours for an adequate time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sufficient patent term protections for verekitug or any other potential future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term. In the United States, the statutory expiration of a patent is generally 20 years after it is filed. Additional patent terms may be available through a patent term adjustment process, resulting from USPTO delays during prosecution. Although various extensions may be available, the life of a patent, and the protection it affords, is limited. Even if patents covering verekitug or any other potential future product candidates are obtained, once the patent life has expired for a product candidate, we may be open to competition from generics or biosimilars.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regulatory approval of verekitug or any other potential future product candidates, one or more patents issued from U.S. patent applications that we file or those of our future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verekitug or any other potential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Despite the possibility of an extension, we may not be granted an extension for which it applies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 earlier than might otherwise be the case. Any of the foregoing could materially harm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patent law in the United States and in non U.S. jurisdictions could diminish the value of patents in general, thereby impairing our ability to protect our technologies and verekitug or any other potential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the case with other biotech and pharmaceutical companies, our success is heavily dependent on intellectual property, particularly patents. Obtaining and enforcing patents in the biopharmaceutical industry involves both technological and legal complexity, and are therefore costly, time consuming and inherently uncertain. Recent rulings from the U.S. Supreme Court and the Court of Appeals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U.S. Supreme Court rulings over the past decade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U.S. Congress, the federal courts, and the USPTO, the laws and regulations governing patents could change in unpredictable ways that could weaken our ability to obtain new patents or to enforce and/or defend our existing patents and patents that we might obtain in the future.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USPTO has issued subject matter eligibility guidance instructing USPTO examiners on the ramifications of the Supreme Court rulings in </w:t>
      </w:r>
      <w:r>
        <w:rPr>
          <w:rFonts w:ascii="Times New Roman" w:hAnsi="Times New Roman"/>
          <w:i/>
          <w:color w:val="000000"/>
          <w:sz w:val="20"/>
        </w:rPr>
        <w:t>Mayo Collaborative Services v. Prometheus Laboratories, Inc.</w:t>
      </w:r>
      <w:r>
        <w:rPr>
          <w:rFonts w:ascii="Times New Roman" w:hAnsi="Times New Roman"/>
          <w:color w:val="000000"/>
          <w:sz w:val="20"/>
        </w:rPr>
        <w:t xml:space="preserve"> and </w:t>
      </w:r>
      <w:r>
        <w:rPr>
          <w:rFonts w:ascii="Times New Roman" w:hAnsi="Times New Roman"/>
          <w:i/>
          <w:color w:val="000000"/>
          <w:sz w:val="20"/>
        </w:rPr>
        <w:t>Association for Molecular Pathology v. Myriad Genetics, Inc.</w:t>
      </w:r>
      <w:r>
        <w:rPr>
          <w:rFonts w:ascii="Times New Roman" w:hAnsi="Times New Roman"/>
          <w:color w:val="000000"/>
          <w:sz w:val="20"/>
        </w:rPr>
        <w:t xml:space="preserve">, and applied the </w:t>
      </w:r>
      <w:r>
        <w:rPr>
          <w:rFonts w:ascii="Times New Roman" w:hAnsi="Times New Roman"/>
          <w:i/>
          <w:color w:val="000000"/>
          <w:sz w:val="20"/>
        </w:rPr>
        <w:t>Myriad</w:t>
      </w:r>
      <w:r>
        <w:rPr>
          <w:rFonts w:ascii="Times New Roman" w:hAnsi="Times New Roman"/>
          <w:color w:val="000000"/>
          <w:sz w:val="20"/>
        </w:rPr>
        <w:t xml:space="preserve"> ruling to natural products and principles including all naturally occurring molecules. In addition, the USPTO continues to provide updates to its guidance continues to be a developing area. The USPTO guidance may make it impossible for us to obtain similar patent claims in future patent applications. Currently, our patent portfolio contains claims of various types and scope, including methods of medical treatment. The presence of varying types of claims in our patent portfolio significantly reduces, but may not eliminate, our exposure to potential validity challenges.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10, 2024, the USPTO issued a proposed rule to change terminal disclaimer practice to add a new requirement for terminal disclaimers filed to obviate (overcome) nonstatutory double patenting. Under the proposed rule, to overcome double patenting a patentee would need to agree that a patent with a terminal disclaimer will be enforceable only if the patent is not tied and has never been tied through one or more terminal disclaimers to a patent in which any claim has been finally held unpatentable or invalid over prior art. If this proposed rule becomes a final rule, it could significantly limit our patent rights and the ability to enforce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our U.S. patent applications, which contain claims entitled to priority after March 16, 2013, there is a greater level of uncertainty due to the Leahy-Smith Act.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verekitug or any other potential future product candidates or (ii) invent any of the inventions claimed in our patents or patent applications.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since the enactment of the Leahy-Smith Act to invalidate patents.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Additionally, the rights of review and appeal for IPR decisions is an area of law that is still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its inventions in Russia or from selling or importing products made using its inventions in and into Russia. Accordingly, our competitive position may be impaired, and our business, financial condition, results of operations and growth prospects may be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 European Unified Patent Court (“UPC”) came into force on June 1,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technologies and verekitug or any other potential future product candidates, we also rely on trade secret protection, as well as confidentiality agreements, non-disclosure agreements and assignment agreements with our employees, consultants and third parties, to protect our know-how and other confidential and proprietary information, especially where we do not believe patent protection is appropriate or obtainable.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such agreements with each party that may have or have had access to our trade secrets or proprietary technologies and processes. Additionally, the assignment of intellectual property rights may not be self-executing, or assignment agreements may be breached, and we may be forced to bring claims against third parties, or defend claims that they may bring against us, to determine the ownership of what we regard as our intellectual property. We may not be able to obtain adequate remedies for any breaches of such agreements. Ultimately, enforcing a claim that a party illegally disclosed or misappropriated a trade secret can be difficult, expensive, and time consuming, and the outcome is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contractual measures, we protect the confidential nature of our proprietary information through other appropriate precautions, such as physical and technological security measures. However, trade secrets and know-how can be difficult to protect despite these precautions.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our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go to court to stop a third party from using any of our trade secrets, we may incur substantial costs. In addition, courts inside and outside the United States are sometimes less willing or unwilling to protect trade secrets. Even if we are successful, these types of lawsuits may consume, in addition to substantial costs, significant amounts of our time and other resources. Any of the foregoing could have a material adverse effect on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assert that our employees, consultants, or advisors have wrongfully used or disclosed confidential information or misappropriated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employ measures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We may then be directly or indirectly involved in litigation proceedings to defend against these claims. If we fail in defending against any such claims, in addition to potentially paying monetary damages, we may lose valuable intellectual property rights and/or personnel. Even if we are successful in defending against such claims, litigation could result in substantial costs and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rely on trademarks as one means to distinguish verekitug or any other potential future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benefit from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allegations of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any proprietary name we propose to use with verekitug or any other potential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it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verekitug or any other potential future product candidates, if approved, may eventually become commercially available in generic or biosimilar product 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similar antibodies to verekitug or any other potential future product candidates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current or future licensors or collaborators, might not have been the first to make the inventions covered by the issued patent or pending patent application that we license or may own in the future, potentially resulting in the invalidation of such patents or refusal of such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current or future licensors or collaborators, may fail to meet our obligations to the U.S. government regarding any in licensed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on our owned or licensed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patent applications that may later issue with claims covering verekitug or any other potential future product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to which we hold rights may be held invalid, unenforceable, or narrowed in scope,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issued patents or patent applications, if and when issued, may not cover verekitug or any other potential future product candidates or narrowly cover them in such a way that competitors may be able to design around to avoid infringement allegations;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proprietary rights or the proprietary rights of current or future licensors or collaborators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patents or patent applications may become involved with competitors, develop products or processes that design around our patents, or become hostile to it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we intend to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verekitug or any other potential future product candidates we develop may be covered by third-party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prohibit or otherwise harm our business;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commercialize the technology and/or file a patent covering such intellectual property.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acquire other companies, products, or technologies by using our common stock as consideration.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 of our common stock may be volatile, which could result in substantial losses for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may be volatile and could be subject to wide fluctuations in response to various factors, some of which are beyond our control, including limited trading volume. In addition to the factors discussed in this section and elsewhere in this Quarterly Report,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enrollment, completion or results of our current or future preclinical and clinical trials for verekitug or any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identifying and advancing a clinical candidate for our other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in our regulatory filings for verekitug or any other potential future product candidates and any adverse development or perceived adverse development with respect to the applicable regulatory authority’s review of such filings, including without limitation the FDA’s issuance of a “refusal to file” letter or a request for additional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results or delays, suspensions or terminations in future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trial, not to initiate a clinical trial or to terminate an existing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of verekitug or any other potential future product candidates or the failure of a regulatory authority to accept data from preclinical studies or clinical trials conducted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laws or regulations applicable to verekitug or any other potential future product candidates, including but not limited to clinical trial requirements for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adequate product supply for any approved product or inability to do so at acceptable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establish collaborations, if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commercialize verekitug or any other potential future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verekitug or any other potential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products or services offered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effectively manage our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quarterly and annual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meet the estimates and projections of the investment community or that we may otherwise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publication of research reports about us or our industry, or verekitug or any other potential future product candidates in particular, or positive or negative recommendations or withdrawal of research coverage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the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overall performance of the equity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or our stockholders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 such as the adoption of a new accounting standard;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ineffectiveness of our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geopolitical, industry and macroeconomic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if approved, commercialization activities relating to verekitug or any other potential future product candidates,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status of enrollment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verekitug or any other potential future product candidates, as well as building out our supply chain, which may vary depending on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amount of any milestone, royalty or other payments due under any collaboration or license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preclinical studies and clinical trials for verekitug or any other potential future product candidates or competing product candidates, or any other change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receipt of approvals for verekitug or any other potential future product candidates from regulatory authorities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verekitug or any other potential future product candidates, if approved, and potential future drugs that compete with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verekitug or any other potential future product candidates, if approved, which may vary significantly over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principal stockholders and their respective affiliates own a significant percentage of our common stock and have the ability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holders of 5% or more of our capital stock and their respective affiliates collectively own a significant percentage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concentration of stock ownership may adversely affect the trading price of our common stock due to investors’ perception that conflicts of interest may exist or arise.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common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price could decline as a result of sales of a large number of shares of common stock or the perception that these sales could occur, which might also make it more difficult for us to sell equity securities in the future at a time and price that we deem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certain holders of our common stock have rights, subject to some conditions, to require us to file registration statements covering the sale of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have registered the offer and sale of all shares of common stock that we may issue under our equity compensation plans, and those shares are available for sale in the open market, unless such shares are subject to vesting restrictions with us or lock-up restrictions. Once we register the offer and sale of shares for the holders of registration rights, they can be freely sold in the public market upon issuance, subject to the lock-up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stock incentive plans or otherwise will dilute all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including potentially through our ATM Program,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only one of three classes of directors is elected each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stockholder proposals that can be acted on at stockholder meetings and nominations to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not less than two-thirds of the votes that all our stockholders would be entitled to cast to amend or repeal specified provisions of our third amended and restated certificate of incorporation or amended and restated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360" w:after="283"/>
        <w:jc w:val="left"/>
        <w:rPr>
          <w:rFonts w:ascii="Times New Roman" w:hAnsi="Times New Roman"/>
          <w:sz w:val="20"/>
        </w:rPr>
      </w:pPr>
      <w:r>
        <w:rPr>
          <w:rFonts w:ascii="Times New Roman" w:hAnsi="Times New Roman"/>
          <w:b/>
          <w:i/>
          <w:color w:val="000000"/>
          <w:sz w:val="20"/>
        </w:rPr>
        <w:t>Our second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second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third amended and restated certificate of incorporation or our second amended and restated bylaws (including the interpretation, validity or enforceability thereof), or (iv) any action asserting a claim that is governed by the internal affairs doctrine (the “Delaware Forum Provision”). The Delaware Forum Provision does not apply to any causes of action arising under the Securities Act or the Exchange Act. Our second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Exchange Act (the “Federal Forum Provision”). In addition, our second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others state courts have upheld the validity of federal forum selection provisions purporting to require claims under the Securities Act or the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continue to satisfy the listing requirements of Nasdaq.</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meet certain financial and liquidity criteria to maintain the listing of our common stock on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 </w:t>
      </w:r>
    </w:p>
    <w:p>
      <w:pPr>
        <w:pStyle w:val="TextBody"/>
        <w:bidi w:val="0"/>
        <w:spacing w:before="32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20"/>
        </w:rPr>
      </w:pPr>
      <w:r>
        <w:rPr>
          <w:rFonts w:ascii="Times New Roman" w:hAnsi="Times New Roman"/>
          <w:b/>
          <w:i/>
          <w:color w:val="000000"/>
          <w:sz w:val="20"/>
        </w:rPr>
        <w:t>*Unfavorable global economic and market volatility resulting from geopolitical conditions, including those affecting the financial services industry, could adversely affect our business, financial condition, stock price,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could be adversely affected by unstable economic and political conditions within the United States and foreign jurisdictions, including as a result of an economic downturn and geopolitical events, political unrest and military conflicts, such as the ongoing conflicts between Russia and Ukraine, the U.S. and Iran, and in the Middle East, changes in or disruptions of U.S. governmental agencies, whether from a prolonged U.S. federal government shutdown or reduced resources, disruptions in capital markets, the potential for significant changes in U.S. federal policies or regulatory environment that affect the geopolitical landscape. Changes to U.S. policy implemented by the U.S. Congress or U.S. presidential administrations have impacted and may in the future impact, among other things, the U.S. and global economy, international trade relations, unemployment, immigration, healthcare, taxation, the U.S. regulatory environment, inflation and other areas. Since the start of the most recent U.S. presidential administration in 2025, U.S. policy changes have been implemented at a rapid pace and additional changes are likely.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Additionally, the U.S. government has in recent periods imposed, modified or proposed tariffs and other trade restrictions, including measures that may affect pharmaceutical products and their components, and may continue to expand or revise such actions. These measures, as well as any related conditions tied to pricing or domestic manufacturing, could increase our costs, disrupt our supply chain and adversely affect our business prospects and the broader biopharmaceutical industry. While certain tariffs have been adjusted, suspended or challenged, there remains significant uncertainty regarding the scope, timing and duration of current and future trade measures, as well as potential retaliatory actions by other countries. The applicability of, and lack of clarity around, such tariffs and related policies may have a material adverse effect on our financial condition and results of operations. We cannot predict the results of the U.S. government’s trade negotiations or the outcome of ongoing legal challenges to specific tariff policies.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severe or prolonged economic downturn or additional global financial crises, including a potential global recession, could result in a variety of risks to our business, including weakened demand for any product candidates we develop or our ability to raise additional capital when needed on acceptable terms, if at all. For example, on October 1, 2025, the U.S. federal government shut 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inflationary pressures, uncertainty about economic stability, global supply chain disruptions, and increases in unemployment rates. The financial markets and the global economy may also be adversely affected by military conflict, including the U.S. and Israeli military action in Iran and effects thereof, the ongoing conflicts between Russia and Ukraine, and Israel and Hamas,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Although the length and impact of the ongoing military conflicts is highly unpredictable, the ongoing conflicts between Russia and Ukraine, the U.S. and Iran, and in the Middle East have led to market disruptions, including significant volatility in commodity prices, credit and capital markets, as well as supply chain interruptions, which contributed to record inflation globally. We are continuing to monitor inflation, the situations in Ukraine and the Middle East and global capital markets and assessing their potential impact on our business, including the impact on the supply chains we rely on for the manufacture of our product and product candidates and related raw materials. There can be no assurance that further deterioration in credit and financial markets and confidence in economic conditions will not occur, including as a result of heightened geopolitical tensions or increasing concerns regarding a potential global recession. A severe or prolonged economic downturn could result in a variety of risks to our business, including a decrease in the demand for verekitug or any other potential future product candidates and in our ability to raise additional capital when needed on acceptable terms, if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maintain the majority of our cash and cash equivalents in accounts with major U.S. and multi-national financial institutions, and our deposits at certain of these institutions may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public health crises or other business interruptions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or public health crises could severely disrupt our operations, and have a material adverse impact on our business, financial condition, results of operations and growth prospects. If a natural disaster, power outage, public health crisis or other event occurred that prevented us from conducting our clinical trials, releasing clinical trial results or delaying our ability to obtain regulatory approval for verekitug or any other potential future product candidates, it may be difficult or, in certain cases, impossible for us to continue our business for a substantial period of time.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in our periodic reports, proxy statements and registration statements;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a nonbinding advisory vote on executive compensation and stockholder approval of any golden parachute payments not previously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compliance with the auditor attestation requirements of Section 404 in the assessment of our internal control over financial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exemption from compliance with the requirements of the Public Company Accounting Oversight Board regarding the communication of critical audit matters in the auditor’s report on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 of $1.235 billion; (ii) December 31, 2029; (iii) the date on which we have issued more than $1.0 billion in non-convertible debt during any three-year period before that time; or (iv) the date on which we are deemed to be a “large accelerated filer”, which would occur if the aggregate market value of our equity securities held by non-affiliates exceeds $700.0 million as of the last business day of our most recently completed second fiscal quarter unless we remain eligible to use the “smaller reporting company” requirements under the revenue test in Rule 12b-2 of the Exchange Act. For so long as we remain an emerging growth company, we are permitted and intend to rely on exemptions from certain disclosure requirements that are applicable to other public companies that are not emerging growth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proxy statements and registration statements. We cannot predict if investors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will find our common stock less attractive because we may rely on these exemptions. If some investors find our common stock less attractive as a result, there may be a less active trading market for our common stock and our share price may be more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of 2002, as amended (the “Sarbanes-Oxley Act”), as well as rules subsequently adopted by the SEC and The Nasdaq Global Select Market to implement provisions of the Sarbanes-Oxley Act, impose significant requirements,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lasting up to five years after completion of a company’s initial public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rules and regulations applicable to public companies have substantially increased, and will continue to increase, our legal and financial compliance costs and to make some activities more time-consuming and costly. If these requirements divert the attention of our management and personnel from other business concerns, they could have an adverse effect on our business. These increased costs will continue to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currently maintain and review our internal controls and procedures for compliance with Section 404 of the Sarbanes-Oxley Act, which requires an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the completion of our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federal and state net operating loss (“NOLs”) carryforwards of $66.9 million and $92.9 million, respectively. The federal NOLs are not subject to expiration and are limited in utilization to 80% of our taxable income and the state NOLs begin to expire in 2041. As of December 31, 2025, we had federal and state research and development credits of $5.7 million and $1.2 million, respectively, which will, if not utilized, begin to expire in 2043 and 2037, respectively. Our ability to utilize these NOLs to offset future tax liabilities depends on the successful development of our product candidates and future financial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securities class action litigation that could divert management’s attention and harm our business, and insurance coverage may not be sufficient to cover all costs and damages.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6" w:name="item_2_unregistered_sales"/>
      <w:bookmarkEnd w:id="16"/>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sz w:val="20"/>
        </w:rPr>
      </w:pPr>
      <w:r>
        <w:rPr>
          <w:rFonts w:ascii="Times New Roman" w:hAnsi="Times New Roman"/>
          <w:b/>
          <w:i/>
          <w:color w:val="000000"/>
          <w:sz w:val="20"/>
        </w:rPr>
        <w:t>(a) Recent sales of unregistered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10, 2024, our Registration Statement on Form S-1 (No. 333-282197) for our initial public offering (“IPO”) was declared effective by the Securities and Exchange Commission (the “SEC”).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IPO as described in our final prospectus filed with the SEC pursuant to Rule 424(b)(4) under the Securities Act on October 11, 2024 (File No. 333-282197).</w:t>
      </w:r>
    </w:p>
    <w:p>
      <w:pPr>
        <w:pStyle w:val="TextBody"/>
        <w:bidi w:val="0"/>
        <w:spacing w:before="360" w:after="283"/>
        <w:jc w:val="left"/>
        <w:rPr>
          <w:rFonts w:ascii="Times New Roman" w:hAnsi="Times New Roman"/>
          <w:sz w:val="20"/>
        </w:rPr>
      </w:pPr>
      <w:r>
        <w:rPr>
          <w:rFonts w:ascii="Times New Roman" w:hAnsi="Times New Roman"/>
          <w:b/>
          <w:i/>
          <w:color w:val="000000"/>
          <w:sz w:val="20"/>
        </w:rPr>
        <w:t>(c)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3_defaults_upon"/>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b/>
          <w:i/>
          <w:color w:val="000000"/>
          <w:sz w:val="20"/>
        </w:rPr>
        <w:t>(a)</w:t>
      </w:r>
      <w:r>
        <w:rPr>
          <w:rFonts w:ascii="Times New Roman" w:hAnsi="Times New Roman"/>
          <w:color w:val="000000"/>
          <w:sz w:val="20"/>
        </w:rPr>
        <w:t xml:space="preserve"> None.</w:t>
      </w:r>
    </w:p>
    <w:p>
      <w:pPr>
        <w:pStyle w:val="TextBody"/>
        <w:bidi w:val="0"/>
        <w:spacing w:before="240" w:after="283"/>
        <w:jc w:val="left"/>
        <w:rPr>
          <w:rFonts w:ascii="Times New Roman" w:hAnsi="Times New Roman"/>
          <w:sz w:val="20"/>
        </w:rPr>
      </w:pPr>
      <w:r>
        <w:rPr>
          <w:rFonts w:ascii="Times New Roman" w:hAnsi="Times New Roman"/>
          <w:b/>
          <w:i/>
          <w:color w:val="000000"/>
          <w:sz w:val="20"/>
        </w:rPr>
        <w:t>(b)</w:t>
      </w:r>
      <w:r>
        <w:rPr>
          <w:rFonts w:ascii="Times New Roman" w:hAnsi="Times New Roman"/>
          <w:color w:val="000000"/>
          <w:sz w:val="20"/>
        </w:rPr>
        <w:t xml:space="preserve"> Not applicable. </w:t>
      </w:r>
    </w:p>
    <w:p>
      <w:pPr>
        <w:pStyle w:val="TextBody"/>
        <w:bidi w:val="0"/>
        <w:spacing w:before="240" w:after="283"/>
        <w:jc w:val="left"/>
        <w:rPr>
          <w:rFonts w:ascii="Times New Roman" w:hAnsi="Times New Roman"/>
          <w:sz w:val="20"/>
        </w:rPr>
      </w:pPr>
      <w:r>
        <w:rPr>
          <w:rFonts w:ascii="Times New Roman" w:hAnsi="Times New Roman"/>
          <w:b/>
          <w:i/>
          <w:color w:val="000000"/>
          <w:sz w:val="20"/>
        </w:rPr>
        <w:t>(c)</w:t>
      </w:r>
      <w:r>
        <w:rPr>
          <w:rFonts w:ascii="Times New Roman" w:hAnsi="Times New Roman"/>
          <w:color w:val="000000"/>
          <w:sz w:val="20"/>
        </w:rPr>
        <w:t xml:space="preserve"> From time to time, our officers (as defined in Rule 16a–1(f)) and directors may enter into Rule 10b5-1 or non-Rule 10b5-1 trading arrangements (as each such term is defined in Item 408 of Regulation S-K). During the quarter ended June 30, 2026, none of our directors or officers adopted, modified, or terminated a Rule 10b5-1 trading arrangement or other arrangement intended to satisfy the affirmative defense conditions of Rule 10b5-1(c) or any non-Rule 10b5-1 trading arrangement,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0"/>
        <w:gridCol w:w="146"/>
        <w:gridCol w:w="9249"/>
      </w:tblGrid>
      <w:tr>
        <w:trPr/>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9" w:type="dxa"/>
            <w:tcBorders/>
            <w:vAlign w:val="center"/>
          </w:tcPr>
          <w:p>
            <w:pPr>
              <w:pStyle w:val="TableContents"/>
              <w:bidi w:val="0"/>
              <w:spacing w:before="0" w:after="283"/>
              <w:jc w:val="left"/>
              <w:rPr>
                <w:sz w:val="4"/>
                <w:szCs w:val="4"/>
              </w:rPr>
            </w:pPr>
            <w:r>
              <w:rPr>
                <w:sz w:val="4"/>
                <w:szCs w:val="4"/>
              </w:rPr>
            </w:r>
          </w:p>
        </w:tc>
      </w:tr>
      <w:tr>
        <w:trPr/>
        <w:tc>
          <w:tcPr>
            <w:tcW w:w="81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Certificate of Incorporation of Upstream Bio, Inc. (incorporated by reference to Exhibit 3.1 to the Company's Current Report on Form 8-K filed on October 15, 2024).</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of Upstream Bio, Inc. (incorporated by reference to Exhibit 3.2 to the Company’s Current Report on Form 8-K filed on October 15, 2024).</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Stock Certificate (incorporated by reference to Exhibit 4.1 to the Company’s Registration Statement on Form S-1 filed on September 18, 2024).</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Investors’ Rights Agreement, among the Company and certain of its stockholders, dated June 6, 2023 (incorporated by reference to Exhibit 4.2 to the Company’s Registration Statement on Form S-1 filed on September 18, 2024).</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p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p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pb-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Certain exhibits and schedules to this agreement have been omitted pursuant to Item 601(a)(5) and (6) of Regulation S-K. The registrant will furnish copies of any of the exhibits and schedules to the Securities and Exchange Commission upon request.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UPSTREAM BIO,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 Rand Sutherland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 Rand Sutherland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Paul Gray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Paul Gray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and Operating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bookmarkStart w:id="22" w:name="upb-ex31_1.htm"/>
      <w:bookmarkStart w:id="23" w:name="ksupb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E. Rand Sutherland,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Upstream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 Rand Sutherland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 Rand Sutherland,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upb-ex31_2.htm"/>
      <w:bookmarkStart w:id="25" w:name="ksupb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Paul Gray,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Upstream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882" w:type="dxa"/>
        <w:jc w:val="left"/>
        <w:tblInd w:w="0" w:type="dxa"/>
        <w:tblLayout w:type="fixed"/>
        <w:tblCellMar>
          <w:top w:w="28" w:type="dxa"/>
          <w:left w:w="28" w:type="dxa"/>
          <w:bottom w:w="28" w:type="dxa"/>
          <w:right w:w="28" w:type="dxa"/>
        </w:tblCellMar>
      </w:tblPr>
      <w:tblGrid>
        <w:gridCol w:w="1951"/>
        <w:gridCol w:w="109"/>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Paul Gray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Paul Gray,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and Operating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upb-ex32_1.htm"/>
      <w:bookmarkStart w:id="27" w:name="ksupb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Upstream Bio, Inc. (the “Company”) on Form 10-Q for the period ending June 30, 2026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spacing w:before="0" w:after="24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 Rand Sutherland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E. Rand Sutherland, M.D.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240"/>
        <w:jc w:val="left"/>
        <w:rPr/>
      </w:pPr>
      <w:r>
        <w:rPr/>
        <w:t> </w:t>
      </w:r>
    </w:p>
    <w:tbl>
      <w:tblPr>
        <w:tblW w:w="7882" w:type="dxa"/>
        <w:jc w:val="left"/>
        <w:tblInd w:w="0" w:type="dxa"/>
        <w:tblLayout w:type="fixed"/>
        <w:tblCellMar>
          <w:top w:w="28" w:type="dxa"/>
          <w:left w:w="28" w:type="dxa"/>
          <w:bottom w:w="28" w:type="dxa"/>
          <w:right w:w="28" w:type="dxa"/>
        </w:tblCellMar>
      </w:tblPr>
      <w:tblGrid>
        <w:gridCol w:w="1951"/>
        <w:gridCol w:w="109"/>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Paul Gray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Paul Gray,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and Operating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2626/000119312524237580/d897785dex31.htm" TargetMode="External"/><Relationship Id="rId3" Type="http://schemas.openxmlformats.org/officeDocument/2006/relationships/hyperlink" Target="https://www.sec.gov/Archives/edgar/data/2022626/000119312524237580/d897785dex32.htm" TargetMode="External"/><Relationship Id="rId4" Type="http://schemas.openxmlformats.org/officeDocument/2006/relationships/hyperlink" Target="https://www.sec.gov/Archives/edgar/data/2022626/000119312524221372/d843142dex41.htm" TargetMode="External"/><Relationship Id="rId5" Type="http://schemas.openxmlformats.org/officeDocument/2006/relationships/hyperlink" Target="https://www.sec.gov/Archives/edgar/data/2022626/000119312524221372/d843142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66021</Words>
  <Characters>372992</Characters>
  <CharactersWithSpaces>439947</CharactersWithSpaces>
  <Paragraphs>5944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