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Ruddy Marcella K.</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Upstream Bio,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UPB</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60" w:type="dxa"/>
            <w:vAlign w:val="bottom"/>
            <w:tcBorders>
              <w:bottom w:val="single" w:sz="8" w:color="0000EE"/>
            </w:tcBorders>
          </w:tcPr>
          <w:p>
            <w:pPr>
              <w:spacing w:after="0"/>
              <w:rPr>
                <w:sz w:val="6"/>
                <w:szCs w:val="6"/>
                <w:color w:val="auto"/>
              </w:rPr>
            </w:pPr>
          </w:p>
        </w:tc>
        <w:tc>
          <w:tcPr>
            <w:tcW w:w="22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56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8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6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7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06/09/2026</w:t>
            </w:r>
          </w:p>
        </w:tc>
        <w:tc>
          <w:tcPr>
            <w:tcW w:w="22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UPSTREAM BIO, INC.</w:t>
            </w:r>
          </w:p>
        </w:tc>
        <w:tc>
          <w:tcPr>
            <w:tcW w:w="1200" w:type="dxa"/>
            <w:vAlign w:val="bottom"/>
          </w:tcPr>
          <w:p>
            <w:pPr>
              <w:spacing w:after="0"/>
              <w:rPr>
                <w:sz w:val="10"/>
                <w:szCs w:val="10"/>
                <w:color w:val="auto"/>
              </w:rPr>
            </w:pPr>
          </w:p>
        </w:tc>
        <w:tc>
          <w:tcPr>
            <w:tcW w:w="1720" w:type="dxa"/>
            <w:vAlign w:val="bottom"/>
            <w:gridSpan w:val="3"/>
            <w:vMerge w:val="continue"/>
          </w:tcPr>
          <w:p>
            <w:pPr>
              <w:spacing w:after="0"/>
              <w:rPr>
                <w:sz w:val="10"/>
                <w:szCs w:val="10"/>
                <w:color w:val="auto"/>
              </w:rPr>
            </w:pPr>
          </w:p>
        </w:tc>
        <w:tc>
          <w:tcPr>
            <w:tcW w:w="22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w w:val="97"/>
              </w:rPr>
              <w:t>890 WINTER STREET, SUITE 200</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49"/>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6.69</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06/09/2026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17,096</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06/08/2036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17,096</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17,096</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400" w:firstLine="2"/>
        <w:spacing w:after="0" w:line="24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this option shall vest in full upon the earlier of (i) June 9, 2027 and (ii) the date of the next Annual Meeting of Stockholders of the Issuer, subject to the Reporting Person's continued service on such vesting date.</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Allison Ambrose, Attorney-  </w:t>
      </w:r>
      <w:r>
        <w:rPr>
          <w:rFonts w:ascii="Times New Roman" w:cs="Times New Roman" w:eastAsia="Times New Roman" w:hAnsi="Times New Roman"/>
          <w:sz w:val="32"/>
          <w:szCs w:val="32"/>
          <w:color w:val="0000FF"/>
          <w:vertAlign w:val="subscript"/>
        </w:rPr>
        <w:t>06/11/2026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246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461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3016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162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06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0695"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2023849" TargetMode="External"/><Relationship Id="rId14" Type="http://schemas.openxmlformats.org/officeDocument/2006/relationships/hyperlink" Target="http://www.sec.gov/cgi-bin/browse-edgar?action=getcompany&amp;CIK=00020226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2026-06-11T19:02:37Z</dcterms:created>
  <dcterms:modified xsi:type="dcterms:W3CDTF">2026-06-11T19:02:37Z</dcterms:modified>
</cp:coreProperties>
</file>